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5C2739" w:rsidRPr="00CF3090" w:rsidTr="002B6AF2"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739" w:rsidRPr="00CF3090" w:rsidRDefault="005C2739" w:rsidP="0020201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CF3090">
              <w:rPr>
                <w:rFonts w:asciiTheme="minorHAnsi" w:hAnsiTheme="minorHAnsi" w:cs="Arial"/>
                <w:b/>
                <w:bCs/>
                <w:noProof/>
                <w:color w:val="000000"/>
              </w:rPr>
              <w:drawing>
                <wp:inline distT="0" distB="0" distL="0" distR="0" wp14:anchorId="6E3E9A63" wp14:editId="72B5BE93">
                  <wp:extent cx="1278890" cy="1041400"/>
                  <wp:effectExtent l="19050" t="0" r="0" b="0"/>
                  <wp:docPr id="1" name="Picture 1" descr="cid:image001.jpg@01C81640.3E8B1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81640.3E8B1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739" w:rsidRPr="00CF3090" w:rsidRDefault="005C2739" w:rsidP="0020201C">
            <w:pPr>
              <w:pStyle w:val="Heading3"/>
              <w:tabs>
                <w:tab w:val="left" w:pos="390"/>
              </w:tabs>
              <w:ind w:left="390"/>
              <w:rPr>
                <w:rFonts w:asciiTheme="minorHAnsi" w:hAnsiTheme="minorHAnsi" w:cs="Arial"/>
              </w:rPr>
            </w:pPr>
          </w:p>
          <w:p w:rsidR="005C2739" w:rsidRPr="00CF3090" w:rsidRDefault="005C2739" w:rsidP="0020201C">
            <w:pPr>
              <w:pStyle w:val="Heading3"/>
              <w:tabs>
                <w:tab w:val="clear" w:pos="6480"/>
                <w:tab w:val="left" w:pos="390"/>
              </w:tabs>
              <w:ind w:left="390"/>
              <w:rPr>
                <w:rFonts w:asciiTheme="minorHAnsi" w:hAnsiTheme="minorHAnsi"/>
                <w:sz w:val="24"/>
              </w:rPr>
            </w:pPr>
            <w:r w:rsidRPr="00CF3090">
              <w:rPr>
                <w:rFonts w:asciiTheme="minorHAnsi" w:hAnsiTheme="minorHAnsi" w:cs="Arial"/>
                <w:sz w:val="24"/>
              </w:rPr>
              <w:t>BONNEVILLE POWER ADMINISTRATION</w:t>
            </w:r>
          </w:p>
          <w:p w:rsidR="005C2739" w:rsidRPr="00CF3090" w:rsidRDefault="005C2739" w:rsidP="002020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F3090">
              <w:rPr>
                <w:rFonts w:cs="Arial"/>
                <w:b/>
                <w:bCs/>
                <w:sz w:val="20"/>
                <w:szCs w:val="20"/>
              </w:rPr>
              <w:t xml:space="preserve">DETAIL – NON-COMPETITIVE TEMPORARY PROMOTION OPPORTUNITY </w:t>
            </w:r>
          </w:p>
          <w:p w:rsidR="005C2739" w:rsidRPr="00CF3090" w:rsidRDefault="005C2739" w:rsidP="0020201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F3090">
              <w:rPr>
                <w:rFonts w:cs="Arial"/>
                <w:b/>
                <w:bCs/>
                <w:sz w:val="20"/>
                <w:szCs w:val="20"/>
              </w:rPr>
              <w:t>INTEREST ANNOUNCEMENT</w:t>
            </w:r>
            <w:r w:rsidR="002B6AF2">
              <w:rPr>
                <w:rFonts w:cs="Arial"/>
                <w:b/>
                <w:bCs/>
                <w:sz w:val="20"/>
                <w:szCs w:val="20"/>
              </w:rPr>
              <w:t xml:space="preserve"> #</w:t>
            </w:r>
            <w:r w:rsidR="005F19D1" w:rsidRPr="002B6AF2">
              <w:rPr>
                <w:rFonts w:cs="Arial"/>
                <w:b/>
                <w:bCs/>
                <w:sz w:val="20"/>
                <w:szCs w:val="20"/>
              </w:rPr>
              <w:t>23</w:t>
            </w:r>
            <w:r w:rsidR="006E2C84" w:rsidRPr="002B6AF2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8110CB">
              <w:rPr>
                <w:rFonts w:cs="Arial"/>
                <w:b/>
                <w:bCs/>
                <w:sz w:val="20"/>
                <w:szCs w:val="20"/>
              </w:rPr>
              <w:t>TFHE</w:t>
            </w:r>
            <w:r w:rsidR="007640CE">
              <w:rPr>
                <w:rFonts w:cs="Arial"/>
                <w:b/>
                <w:bCs/>
                <w:sz w:val="20"/>
                <w:szCs w:val="20"/>
              </w:rPr>
              <w:t>-002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5C2739" w:rsidRPr="00CF3090" w:rsidRDefault="005C2739" w:rsidP="0020201C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9F4428" w:rsidRPr="008110CB" w:rsidRDefault="00B13A74" w:rsidP="0020201C">
            <w:pPr>
              <w:pStyle w:val="NormalWeb"/>
              <w:spacing w:before="0" w:beforeAutospacing="0" w:after="0" w:afterAutospacing="0"/>
              <w:ind w:left="270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:highlight w:val="yellow"/>
              </w:rPr>
            </w:pPr>
            <w:r w:rsidRPr="008110CB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E</w:t>
            </w:r>
            <w:r w:rsidR="008110CB" w:rsidRPr="008110CB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lectrician Foreman III (Construction)</w:t>
            </w:r>
          </w:p>
          <w:p w:rsidR="002B6AF2" w:rsidRPr="008110CB" w:rsidRDefault="002B6AF2" w:rsidP="002B6AF2">
            <w:pPr>
              <w:pStyle w:val="Heading5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8110CB">
              <w:rPr>
                <w:rFonts w:asciiTheme="minorHAnsi" w:hAnsiTheme="minorHAnsi" w:cstheme="minorHAnsi"/>
                <w:b/>
                <w:bCs/>
                <w:iCs/>
                <w:sz w:val="20"/>
              </w:rPr>
              <w:t>For Classified position J0</w:t>
            </w:r>
            <w:r w:rsidR="00B13A74" w:rsidRPr="008110CB">
              <w:rPr>
                <w:rFonts w:asciiTheme="minorHAnsi" w:hAnsiTheme="minorHAnsi" w:cstheme="minorHAnsi"/>
                <w:b/>
                <w:bCs/>
                <w:iCs/>
                <w:sz w:val="20"/>
              </w:rPr>
              <w:t>1300</w:t>
            </w:r>
            <w:r w:rsidR="008110CB">
              <w:rPr>
                <w:rFonts w:asciiTheme="minorHAnsi" w:hAnsiTheme="minorHAnsi" w:cstheme="minorHAnsi"/>
                <w:b/>
                <w:bCs/>
                <w:iCs/>
                <w:sz w:val="20"/>
              </w:rPr>
              <w:t>, BS-2810</w:t>
            </w:r>
          </w:p>
          <w:p w:rsidR="002B6AF2" w:rsidRPr="008110CB" w:rsidRDefault="002B6AF2" w:rsidP="002B6AF2">
            <w:pPr>
              <w:pStyle w:val="Heading5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8110CB">
              <w:rPr>
                <w:rFonts w:asciiTheme="minorHAnsi" w:hAnsiTheme="minorHAnsi" w:cstheme="minorHAnsi"/>
                <w:b/>
                <w:bCs/>
                <w:iCs/>
                <w:sz w:val="20"/>
              </w:rPr>
              <w:t>Pay Range: $</w:t>
            </w:r>
            <w:r w:rsidR="00B13A74" w:rsidRPr="008110CB">
              <w:rPr>
                <w:rFonts w:asciiTheme="minorHAnsi" w:hAnsiTheme="minorHAnsi" w:cstheme="minorHAnsi"/>
                <w:b/>
                <w:bCs/>
                <w:iCs/>
                <w:sz w:val="20"/>
              </w:rPr>
              <w:t xml:space="preserve">71.06 </w:t>
            </w:r>
            <w:r w:rsidR="00463E7A" w:rsidRPr="008110CB">
              <w:rPr>
                <w:rFonts w:asciiTheme="minorHAnsi" w:hAnsiTheme="minorHAnsi" w:cstheme="minorHAnsi"/>
                <w:b/>
                <w:bCs/>
                <w:iCs/>
                <w:sz w:val="20"/>
              </w:rPr>
              <w:t>per</w:t>
            </w:r>
            <w:r w:rsidR="00B13A74" w:rsidRPr="008110CB">
              <w:rPr>
                <w:rFonts w:asciiTheme="minorHAnsi" w:hAnsiTheme="minorHAnsi" w:cstheme="minorHAnsi"/>
                <w:b/>
                <w:bCs/>
                <w:iCs/>
                <w:sz w:val="20"/>
              </w:rPr>
              <w:t xml:space="preserve"> </w:t>
            </w:r>
            <w:r w:rsidR="00463E7A" w:rsidRPr="008110CB">
              <w:rPr>
                <w:rFonts w:asciiTheme="minorHAnsi" w:hAnsiTheme="minorHAnsi" w:cstheme="minorHAnsi"/>
                <w:b/>
                <w:bCs/>
                <w:iCs/>
                <w:sz w:val="20"/>
              </w:rPr>
              <w:t>h</w:t>
            </w:r>
            <w:r w:rsidR="00B13A74" w:rsidRPr="008110CB">
              <w:rPr>
                <w:rFonts w:asciiTheme="minorHAnsi" w:hAnsiTheme="minorHAnsi" w:cstheme="minorHAnsi"/>
                <w:b/>
                <w:bCs/>
                <w:iCs/>
                <w:sz w:val="20"/>
              </w:rPr>
              <w:t>our</w:t>
            </w:r>
          </w:p>
          <w:p w:rsidR="002B6AF2" w:rsidRPr="008110CB" w:rsidRDefault="002B6AF2" w:rsidP="002B6AF2">
            <w:pPr>
              <w:pStyle w:val="Heading5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8110CB">
              <w:rPr>
                <w:rFonts w:asciiTheme="minorHAnsi" w:hAnsiTheme="minorHAnsi" w:cstheme="minorHAnsi"/>
                <w:b/>
                <w:bCs/>
                <w:iCs/>
                <w:sz w:val="20"/>
              </w:rPr>
              <w:t>Full-time for 120 days</w:t>
            </w:r>
          </w:p>
          <w:p w:rsidR="002B6AF2" w:rsidRPr="008110CB" w:rsidRDefault="002B6AF2" w:rsidP="002B6AF2">
            <w:pPr>
              <w:pStyle w:val="Heading5"/>
              <w:rPr>
                <w:rFonts w:asciiTheme="minorHAnsi" w:hAnsiTheme="minorHAnsi" w:cstheme="minorHAnsi"/>
                <w:sz w:val="20"/>
              </w:rPr>
            </w:pPr>
            <w:r w:rsidRPr="008110CB">
              <w:rPr>
                <w:rFonts w:asciiTheme="minorHAnsi" w:hAnsiTheme="minorHAnsi" w:cstheme="minorHAnsi"/>
                <w:b/>
                <w:bCs/>
                <w:iCs/>
                <w:sz w:val="20"/>
              </w:rPr>
              <w:t>Number of Vacancies: 1</w:t>
            </w:r>
          </w:p>
          <w:p w:rsidR="002B6AF2" w:rsidRDefault="002B6AF2" w:rsidP="0020201C">
            <w:pPr>
              <w:pStyle w:val="NormalWeb"/>
              <w:spacing w:before="0" w:beforeAutospacing="0" w:after="0" w:afterAutospacing="0"/>
              <w:ind w:left="270"/>
              <w:jc w:val="center"/>
              <w:rPr>
                <w:rFonts w:asciiTheme="minorHAnsi" w:hAnsiTheme="minorHAnsi" w:cs="Arial"/>
                <w:b/>
                <w:bCs/>
                <w:iCs/>
                <w:sz w:val="24"/>
                <w:szCs w:val="24"/>
                <w:highlight w:val="yellow"/>
              </w:rPr>
            </w:pPr>
          </w:p>
          <w:p w:rsidR="005C2739" w:rsidRPr="00102F8C" w:rsidRDefault="005C2739" w:rsidP="0020201C">
            <w:pPr>
              <w:pStyle w:val="NormalWeb"/>
              <w:spacing w:before="0" w:beforeAutospacing="0" w:after="0" w:afterAutospacing="0"/>
              <w:ind w:left="270"/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C2739" w:rsidRPr="00CF3090" w:rsidTr="002B6AF2"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739" w:rsidRPr="00CF3090" w:rsidRDefault="005C2739" w:rsidP="0020201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  <w:b/>
                <w:bCs/>
                <w:noProof/>
                <w:color w:val="000000"/>
              </w:rPr>
            </w:pP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739" w:rsidRPr="00CF3090" w:rsidRDefault="005C2739" w:rsidP="0020201C">
            <w:pPr>
              <w:pStyle w:val="Heading3"/>
              <w:tabs>
                <w:tab w:val="left" w:pos="390"/>
              </w:tabs>
              <w:ind w:left="390"/>
              <w:rPr>
                <w:rFonts w:asciiTheme="minorHAnsi" w:hAnsiTheme="minorHAnsi" w:cs="Arial"/>
              </w:rPr>
            </w:pPr>
          </w:p>
        </w:tc>
      </w:tr>
    </w:tbl>
    <w:p w:rsidR="005C2739" w:rsidRPr="00CF3090" w:rsidRDefault="005C2739" w:rsidP="005C2739">
      <w:pPr>
        <w:pStyle w:val="Heading5"/>
        <w:rPr>
          <w:rFonts w:asciiTheme="minorHAnsi" w:hAnsiTheme="minorHAnsi" w:cs="Arial"/>
          <w:i w:val="0"/>
          <w:sz w:val="20"/>
        </w:rPr>
      </w:pPr>
    </w:p>
    <w:p w:rsidR="005C2739" w:rsidRPr="00CF3090" w:rsidRDefault="005C2739" w:rsidP="005C2739">
      <w:pPr>
        <w:tabs>
          <w:tab w:val="left" w:pos="720"/>
          <w:tab w:val="left" w:pos="1152"/>
          <w:tab w:val="left" w:pos="1584"/>
          <w:tab w:val="left" w:pos="2016"/>
          <w:tab w:val="left" w:pos="6480"/>
        </w:tabs>
        <w:rPr>
          <w:rFonts w:cs="Arial"/>
          <w:sz w:val="20"/>
          <w:szCs w:val="20"/>
        </w:rPr>
      </w:pPr>
      <w:r w:rsidRPr="00CF3090">
        <w:rPr>
          <w:rFonts w:cs="Arial"/>
          <w:sz w:val="20"/>
          <w:szCs w:val="20"/>
        </w:rPr>
        <w:tab/>
      </w:r>
    </w:p>
    <w:p w:rsidR="005C2739" w:rsidRPr="002B6AF2" w:rsidRDefault="005C2739" w:rsidP="005C2739">
      <w:pPr>
        <w:tabs>
          <w:tab w:val="right" w:pos="9360"/>
        </w:tabs>
        <w:rPr>
          <w:rFonts w:cs="Arial"/>
          <w:bCs/>
          <w:sz w:val="20"/>
          <w:szCs w:val="20"/>
        </w:rPr>
      </w:pPr>
      <w:r w:rsidRPr="002B6AF2">
        <w:rPr>
          <w:rFonts w:cs="Arial"/>
          <w:b/>
          <w:bCs/>
          <w:sz w:val="20"/>
          <w:szCs w:val="20"/>
        </w:rPr>
        <w:t xml:space="preserve">OPENS:  </w:t>
      </w:r>
      <w:r w:rsidR="003C4496">
        <w:rPr>
          <w:rFonts w:cs="Arial"/>
          <w:b/>
          <w:bCs/>
          <w:sz w:val="20"/>
          <w:szCs w:val="20"/>
        </w:rPr>
        <w:t>3/20</w:t>
      </w:r>
      <w:r w:rsidR="0092755C">
        <w:rPr>
          <w:rFonts w:cs="Arial"/>
          <w:b/>
          <w:bCs/>
          <w:sz w:val="20"/>
          <w:szCs w:val="20"/>
        </w:rPr>
        <w:t>/2023</w:t>
      </w:r>
      <w:r w:rsidRPr="002B6AF2">
        <w:rPr>
          <w:rFonts w:cs="Arial"/>
          <w:b/>
          <w:bCs/>
          <w:sz w:val="20"/>
          <w:szCs w:val="20"/>
        </w:rPr>
        <w:tab/>
        <w:t xml:space="preserve">CLOSES: </w:t>
      </w:r>
      <w:r w:rsidR="007640CE">
        <w:rPr>
          <w:rFonts w:cs="Arial"/>
          <w:b/>
          <w:bCs/>
          <w:sz w:val="20"/>
          <w:szCs w:val="20"/>
        </w:rPr>
        <w:t>3/</w:t>
      </w:r>
      <w:r w:rsidR="003C4496">
        <w:rPr>
          <w:rFonts w:cs="Arial"/>
          <w:b/>
          <w:bCs/>
          <w:sz w:val="20"/>
          <w:szCs w:val="20"/>
        </w:rPr>
        <w:t>30</w:t>
      </w:r>
      <w:bookmarkStart w:id="0" w:name="_GoBack"/>
      <w:bookmarkEnd w:id="0"/>
      <w:r w:rsidR="0092755C">
        <w:rPr>
          <w:rFonts w:cs="Arial"/>
          <w:b/>
          <w:bCs/>
          <w:sz w:val="20"/>
          <w:szCs w:val="20"/>
        </w:rPr>
        <w:t>/2023</w:t>
      </w:r>
      <w:r w:rsidRPr="002B6AF2">
        <w:rPr>
          <w:rFonts w:cs="Arial"/>
          <w:b/>
          <w:bCs/>
          <w:sz w:val="20"/>
          <w:szCs w:val="20"/>
        </w:rPr>
        <w:t xml:space="preserve"> </w:t>
      </w:r>
    </w:p>
    <w:p w:rsidR="005C2739" w:rsidRPr="002B6AF2" w:rsidRDefault="005C2739" w:rsidP="005C2739">
      <w:pPr>
        <w:rPr>
          <w:rFonts w:cs="Arial"/>
          <w:b/>
          <w:bCs/>
          <w:sz w:val="20"/>
          <w:szCs w:val="20"/>
        </w:rPr>
      </w:pPr>
    </w:p>
    <w:p w:rsidR="005C2739" w:rsidRPr="002B6AF2" w:rsidRDefault="005C2739" w:rsidP="005C273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2B6AF2">
        <w:rPr>
          <w:rFonts w:cs="Arial"/>
          <w:b/>
          <w:bCs/>
          <w:sz w:val="20"/>
          <w:szCs w:val="20"/>
          <w:u w:val="single"/>
        </w:rPr>
        <w:t>POSITION LOCATION</w:t>
      </w:r>
      <w:r w:rsidRPr="002B6AF2">
        <w:rPr>
          <w:rFonts w:cs="Arial"/>
          <w:b/>
          <w:bCs/>
          <w:sz w:val="20"/>
          <w:szCs w:val="20"/>
        </w:rPr>
        <w:t>:</w:t>
      </w:r>
      <w:r w:rsidRPr="002B6AF2">
        <w:rPr>
          <w:rFonts w:cs="Arial"/>
          <w:sz w:val="20"/>
          <w:szCs w:val="20"/>
        </w:rPr>
        <w:t xml:space="preserve">  </w:t>
      </w:r>
      <w:r w:rsidR="006E2C84" w:rsidRPr="002B6AF2">
        <w:rPr>
          <w:rFonts w:cs="Arial"/>
          <w:sz w:val="20"/>
          <w:szCs w:val="20"/>
        </w:rPr>
        <w:t xml:space="preserve">Vancouver, Washington </w:t>
      </w:r>
    </w:p>
    <w:p w:rsidR="005C2739" w:rsidRPr="002B6AF2" w:rsidRDefault="005C2739" w:rsidP="005C2739">
      <w:pPr>
        <w:rPr>
          <w:rFonts w:cs="Arial"/>
          <w:sz w:val="20"/>
          <w:szCs w:val="20"/>
        </w:rPr>
      </w:pPr>
    </w:p>
    <w:p w:rsidR="005C2739" w:rsidRPr="00CF3090" w:rsidRDefault="005C2739" w:rsidP="005C2739">
      <w:pPr>
        <w:rPr>
          <w:rFonts w:cs="Arial"/>
          <w:sz w:val="20"/>
          <w:szCs w:val="20"/>
        </w:rPr>
      </w:pPr>
      <w:r w:rsidRPr="002B6AF2">
        <w:rPr>
          <w:rFonts w:cs="Arial"/>
          <w:b/>
          <w:bCs/>
          <w:sz w:val="20"/>
          <w:szCs w:val="20"/>
          <w:u w:val="single"/>
        </w:rPr>
        <w:t>WHO MAY APPLY</w:t>
      </w:r>
      <w:r w:rsidRPr="002B6AF2">
        <w:rPr>
          <w:rFonts w:cs="Arial"/>
          <w:b/>
          <w:bCs/>
          <w:sz w:val="20"/>
          <w:szCs w:val="20"/>
        </w:rPr>
        <w:t>:</w:t>
      </w:r>
      <w:r w:rsidRPr="002B6AF2">
        <w:rPr>
          <w:rFonts w:cs="Arial"/>
          <w:i/>
          <w:iCs/>
          <w:sz w:val="20"/>
          <w:szCs w:val="20"/>
        </w:rPr>
        <w:t xml:space="preserve">  </w:t>
      </w:r>
      <w:r w:rsidRPr="002B6AF2">
        <w:rPr>
          <w:rFonts w:cs="Arial"/>
          <w:iCs/>
          <w:sz w:val="20"/>
          <w:szCs w:val="20"/>
        </w:rPr>
        <w:t xml:space="preserve">Any </w:t>
      </w:r>
      <w:r w:rsidRPr="002B6AF2">
        <w:rPr>
          <w:rFonts w:cs="Arial"/>
          <w:sz w:val="20"/>
          <w:szCs w:val="20"/>
        </w:rPr>
        <w:t xml:space="preserve">Bonneville Power Administration employee with current competitive career conditional/career status currently at the </w:t>
      </w:r>
      <w:r w:rsidR="00B13A74" w:rsidRPr="0092755C">
        <w:rPr>
          <w:rFonts w:cs="Arial"/>
          <w:sz w:val="20"/>
          <w:szCs w:val="20"/>
        </w:rPr>
        <w:t>Electrician Foreman I</w:t>
      </w:r>
      <w:r w:rsidRPr="00CF3090">
        <w:rPr>
          <w:rFonts w:cs="Arial"/>
          <w:sz w:val="20"/>
          <w:szCs w:val="20"/>
        </w:rPr>
        <w:t xml:space="preserve"> level. This is a non-competitive temporary promotion or detail NTE 120 days. Employees will need to confirm they have their supervisor’s approval when applying for the non-competitive temporary promotion or detail.</w:t>
      </w:r>
    </w:p>
    <w:p w:rsidR="005C2739" w:rsidRPr="00CF3090" w:rsidRDefault="005C2739" w:rsidP="005C2739">
      <w:pPr>
        <w:rPr>
          <w:rFonts w:cs="Arial"/>
          <w:sz w:val="20"/>
          <w:szCs w:val="20"/>
        </w:rPr>
      </w:pPr>
    </w:p>
    <w:p w:rsidR="005C2739" w:rsidRDefault="005C2739" w:rsidP="005C2739">
      <w:pPr>
        <w:rPr>
          <w:rFonts w:cs="Arial"/>
          <w:sz w:val="20"/>
          <w:szCs w:val="20"/>
        </w:rPr>
      </w:pPr>
      <w:r w:rsidRPr="00CF3090">
        <w:rPr>
          <w:rFonts w:cs="Arial"/>
          <w:sz w:val="20"/>
          <w:szCs w:val="20"/>
        </w:rPr>
        <w:t xml:space="preserve">Employees who have non-competitively served a total of 120 days in a temporary promotion or detail to a higher grade within the preceding 12 months are not eligible for a higher-graded opportunity. </w:t>
      </w:r>
      <w:r w:rsidR="002B6AF2" w:rsidRPr="002B6AF2">
        <w:rPr>
          <w:rFonts w:cs="Arial"/>
          <w:sz w:val="20"/>
          <w:szCs w:val="20"/>
        </w:rPr>
        <w:t>If you have questions regarding your eligibility Contact HR Help and (503) 230-3230.</w:t>
      </w:r>
    </w:p>
    <w:p w:rsidR="002B6AF2" w:rsidRPr="00CF3090" w:rsidRDefault="002B6AF2" w:rsidP="005C2739">
      <w:pPr>
        <w:rPr>
          <w:rFonts w:cs="Arial"/>
          <w:sz w:val="20"/>
          <w:szCs w:val="20"/>
        </w:rPr>
      </w:pPr>
    </w:p>
    <w:p w:rsidR="005C2739" w:rsidRPr="00CF3090" w:rsidRDefault="005C2739" w:rsidP="005C2739">
      <w:pPr>
        <w:rPr>
          <w:rFonts w:cs="Arial"/>
          <w:sz w:val="20"/>
          <w:szCs w:val="20"/>
        </w:rPr>
      </w:pPr>
      <w:r w:rsidRPr="00CF3090">
        <w:rPr>
          <w:rFonts w:cs="Arial"/>
          <w:b/>
          <w:bCs/>
          <w:sz w:val="20"/>
          <w:szCs w:val="20"/>
          <w:u w:val="single"/>
        </w:rPr>
        <w:t>NOTES</w:t>
      </w:r>
      <w:r w:rsidRPr="00CF3090">
        <w:rPr>
          <w:rFonts w:cs="Arial"/>
          <w:b/>
          <w:bCs/>
          <w:sz w:val="20"/>
          <w:szCs w:val="20"/>
        </w:rPr>
        <w:t>:</w:t>
      </w:r>
      <w:r w:rsidRPr="00CF3090">
        <w:rPr>
          <w:rFonts w:cs="Arial"/>
          <w:sz w:val="20"/>
          <w:szCs w:val="20"/>
        </w:rPr>
        <w:t xml:space="preserve">  The successful candidate will be detailed or non-competitively temporarily promoted to the position of </w:t>
      </w:r>
      <w:r w:rsidR="00F30E3E">
        <w:rPr>
          <w:rFonts w:cs="Arial"/>
          <w:sz w:val="20"/>
          <w:szCs w:val="20"/>
        </w:rPr>
        <w:t>Electrician Foreman III</w:t>
      </w:r>
      <w:r w:rsidRPr="002B6AF2">
        <w:rPr>
          <w:rFonts w:cs="Arial"/>
          <w:sz w:val="20"/>
          <w:szCs w:val="20"/>
        </w:rPr>
        <w:t>.</w:t>
      </w:r>
      <w:r w:rsidRPr="00CF3090">
        <w:rPr>
          <w:rFonts w:cs="Arial"/>
          <w:sz w:val="20"/>
          <w:szCs w:val="20"/>
        </w:rPr>
        <w:t xml:space="preserve"> Selection from this interest announcement is subject to the requirements of applicable employment practices. Any promotion associated with this announcement will be subject to the following:</w:t>
      </w:r>
    </w:p>
    <w:p w:rsidR="005C2739" w:rsidRPr="00CF3090" w:rsidRDefault="005C2739" w:rsidP="005C2739">
      <w:pPr>
        <w:rPr>
          <w:rFonts w:cs="Arial"/>
          <w:sz w:val="20"/>
          <w:szCs w:val="20"/>
        </w:rPr>
      </w:pPr>
    </w:p>
    <w:p w:rsidR="005C2739" w:rsidRPr="00CF3090" w:rsidRDefault="005C2739" w:rsidP="005C2739">
      <w:pPr>
        <w:numPr>
          <w:ilvl w:val="0"/>
          <w:numId w:val="1"/>
        </w:numPr>
        <w:tabs>
          <w:tab w:val="left" w:pos="720"/>
        </w:tabs>
        <w:rPr>
          <w:rFonts w:cs="Arial"/>
          <w:iCs/>
          <w:sz w:val="20"/>
          <w:szCs w:val="20"/>
        </w:rPr>
      </w:pPr>
      <w:r w:rsidRPr="00CF3090">
        <w:rPr>
          <w:rFonts w:cs="Arial"/>
          <w:sz w:val="20"/>
          <w:szCs w:val="20"/>
        </w:rPr>
        <w:t xml:space="preserve">When an employee </w:t>
      </w:r>
      <w:r w:rsidRPr="00CF3090">
        <w:rPr>
          <w:rFonts w:cs="Arial"/>
          <w:sz w:val="20"/>
          <w:szCs w:val="20"/>
          <w:u w:val="single"/>
        </w:rPr>
        <w:t>already holds the same grade or higher</w:t>
      </w:r>
      <w:r w:rsidRPr="00CF3090">
        <w:rPr>
          <w:rFonts w:cs="Arial"/>
          <w:sz w:val="20"/>
          <w:szCs w:val="20"/>
        </w:rPr>
        <w:t xml:space="preserve"> as the position of interest on a permanent basis, then the action will be processed as a detail and may be made for a period up to one year, in 120-day increments.  When appropriate, details may be extended for an additional year, in 120-day increments.</w:t>
      </w:r>
    </w:p>
    <w:p w:rsidR="005C2739" w:rsidRPr="00CF3090" w:rsidRDefault="005C2739" w:rsidP="005C2739">
      <w:pPr>
        <w:numPr>
          <w:ilvl w:val="12"/>
          <w:numId w:val="0"/>
        </w:numPr>
        <w:ind w:firstLine="45"/>
        <w:rPr>
          <w:rFonts w:cs="Arial"/>
          <w:iCs/>
          <w:sz w:val="20"/>
          <w:szCs w:val="20"/>
        </w:rPr>
      </w:pPr>
    </w:p>
    <w:p w:rsidR="005C2739" w:rsidRPr="00CF3090" w:rsidRDefault="005C2739" w:rsidP="005C2739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 w:rsidRPr="00CF3090">
        <w:rPr>
          <w:rFonts w:cs="Arial"/>
          <w:sz w:val="20"/>
          <w:szCs w:val="20"/>
        </w:rPr>
        <w:t xml:space="preserve">When an employee </w:t>
      </w:r>
      <w:r w:rsidRPr="00CF3090">
        <w:rPr>
          <w:rFonts w:cs="Arial"/>
          <w:sz w:val="20"/>
          <w:szCs w:val="20"/>
          <w:u w:val="single"/>
        </w:rPr>
        <w:t>holds a lower graded position or is in a position with lower-graded promotion potential</w:t>
      </w:r>
      <w:r w:rsidRPr="00CF3090">
        <w:rPr>
          <w:rFonts w:cs="Arial"/>
          <w:sz w:val="20"/>
          <w:szCs w:val="20"/>
        </w:rPr>
        <w:t xml:space="preserve"> than the position of interest, s</w:t>
      </w:r>
      <w:r>
        <w:rPr>
          <w:rFonts w:cs="Arial"/>
          <w:sz w:val="20"/>
          <w:szCs w:val="20"/>
        </w:rPr>
        <w:t>he</w:t>
      </w:r>
      <w:r w:rsidRPr="00CF3090">
        <w:rPr>
          <w:rFonts w:cs="Arial"/>
          <w:sz w:val="20"/>
          <w:szCs w:val="20"/>
        </w:rPr>
        <w:t xml:space="preserve">/he is prohibited from serving in a higher-graded position for more than 120-days in a 52-week period. The action may be processed as a detail or non-competitive temporary promotion at management’s discretion. Employees selected for a non-competitive temporary promotion must meet time in grade, experience, and any minimum education requirements specified under Special Skills &amp; Abilities below. Those who do not meet the time in grade or qualifications requirement(s) may be eligible to accrue experience during a detail. Non-competitive temporary promotions or details to a higher grade may not be extended or made permanent. </w:t>
      </w:r>
    </w:p>
    <w:p w:rsidR="005C2739" w:rsidRPr="00CF3090" w:rsidRDefault="005C2739" w:rsidP="005C2739">
      <w:pPr>
        <w:numPr>
          <w:ilvl w:val="12"/>
          <w:numId w:val="0"/>
        </w:numPr>
        <w:rPr>
          <w:rFonts w:cs="Arial"/>
          <w:sz w:val="20"/>
          <w:szCs w:val="20"/>
        </w:rPr>
      </w:pPr>
    </w:p>
    <w:p w:rsidR="005C2739" w:rsidRPr="00CF3090" w:rsidRDefault="005C2739" w:rsidP="005C2739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 w:rsidRPr="00CF3090">
        <w:rPr>
          <w:rFonts w:cs="Arial"/>
          <w:sz w:val="20"/>
          <w:szCs w:val="20"/>
        </w:rPr>
        <w:t>The employee will be returned to his/her permanent position of record (i.e., position prior to detail) upon completion of the non-competitive temporary promotion or detail opportunity.</w:t>
      </w:r>
    </w:p>
    <w:p w:rsidR="005C2739" w:rsidRPr="00CF3090" w:rsidRDefault="005C2739" w:rsidP="005C2739">
      <w:pPr>
        <w:tabs>
          <w:tab w:val="left" w:pos="720"/>
        </w:tabs>
        <w:ind w:left="360"/>
        <w:rPr>
          <w:rFonts w:cs="Arial"/>
          <w:sz w:val="20"/>
          <w:szCs w:val="20"/>
        </w:rPr>
      </w:pPr>
    </w:p>
    <w:p w:rsidR="005C2739" w:rsidRPr="00CF3090" w:rsidRDefault="005C2739" w:rsidP="005C2739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 w:rsidRPr="00CF3090">
        <w:rPr>
          <w:rFonts w:cs="Arial"/>
          <w:sz w:val="20"/>
          <w:szCs w:val="20"/>
        </w:rPr>
        <w:t>Temporary promotions and details may be terminated at any time based on the needs of management.</w:t>
      </w:r>
    </w:p>
    <w:p w:rsidR="005C2739" w:rsidRPr="00CF3090" w:rsidRDefault="005C2739" w:rsidP="005C2739">
      <w:pPr>
        <w:tabs>
          <w:tab w:val="left" w:pos="720"/>
        </w:tabs>
        <w:ind w:left="360"/>
        <w:rPr>
          <w:rFonts w:cs="Arial"/>
          <w:sz w:val="20"/>
          <w:szCs w:val="20"/>
        </w:rPr>
      </w:pPr>
    </w:p>
    <w:p w:rsidR="005C2739" w:rsidRPr="00935890" w:rsidRDefault="005C2739" w:rsidP="00935890">
      <w:pPr>
        <w:numPr>
          <w:ilvl w:val="0"/>
          <w:numId w:val="1"/>
        </w:numPr>
        <w:tabs>
          <w:tab w:val="left" w:pos="720"/>
        </w:tabs>
        <w:rPr>
          <w:rFonts w:cs="Arial"/>
          <w:b/>
          <w:bCs/>
          <w:sz w:val="20"/>
          <w:szCs w:val="20"/>
          <w:u w:val="single"/>
        </w:rPr>
      </w:pPr>
      <w:r w:rsidRPr="00935890">
        <w:rPr>
          <w:rFonts w:cs="Arial"/>
          <w:sz w:val="20"/>
          <w:szCs w:val="20"/>
        </w:rPr>
        <w:lastRenderedPageBreak/>
        <w:t>Multiple selections may be made from this interest announcement to fill the posit</w:t>
      </w:r>
      <w:r w:rsidR="00B10F6E">
        <w:rPr>
          <w:rFonts w:cs="Arial"/>
          <w:sz w:val="20"/>
          <w:szCs w:val="20"/>
        </w:rPr>
        <w:t>ion on a rotational basis.</w:t>
      </w:r>
    </w:p>
    <w:p w:rsidR="005C2739" w:rsidRPr="00E55BBE" w:rsidRDefault="005C2739" w:rsidP="005C2739">
      <w:pPr>
        <w:rPr>
          <w:rFonts w:cs="Arial"/>
          <w:b/>
          <w:bCs/>
          <w:sz w:val="20"/>
          <w:szCs w:val="20"/>
          <w:u w:val="single"/>
        </w:rPr>
      </w:pPr>
    </w:p>
    <w:p w:rsidR="005C2739" w:rsidRPr="00CF3090" w:rsidRDefault="005C2739" w:rsidP="005C2739">
      <w:pPr>
        <w:rPr>
          <w:rFonts w:cs="Arial"/>
          <w:sz w:val="20"/>
          <w:szCs w:val="20"/>
        </w:rPr>
      </w:pPr>
      <w:r w:rsidRPr="00CF3090">
        <w:rPr>
          <w:rFonts w:cs="Arial"/>
          <w:b/>
          <w:bCs/>
          <w:sz w:val="20"/>
          <w:szCs w:val="20"/>
          <w:u w:val="single"/>
        </w:rPr>
        <w:t>GENERAL INFORMATION</w:t>
      </w:r>
      <w:r w:rsidRPr="00CF3090">
        <w:rPr>
          <w:rFonts w:cs="Arial"/>
          <w:b/>
          <w:bCs/>
          <w:sz w:val="20"/>
          <w:szCs w:val="20"/>
        </w:rPr>
        <w:t>:</w:t>
      </w:r>
    </w:p>
    <w:p w:rsidR="001602EC" w:rsidRPr="001602EC" w:rsidRDefault="005C2739" w:rsidP="005C2739">
      <w:pPr>
        <w:rPr>
          <w:rFonts w:cstheme="minorHAnsi"/>
          <w:i/>
          <w:iCs/>
          <w:sz w:val="20"/>
          <w:szCs w:val="20"/>
          <w:u w:val="single"/>
        </w:rPr>
      </w:pPr>
      <w:r w:rsidRPr="007D7E2F">
        <w:rPr>
          <w:rFonts w:cs="Arial"/>
          <w:sz w:val="20"/>
          <w:szCs w:val="20"/>
        </w:rPr>
        <w:t>Th</w:t>
      </w:r>
      <w:r w:rsidR="001602EC">
        <w:rPr>
          <w:rFonts w:cs="Arial"/>
          <w:sz w:val="20"/>
          <w:szCs w:val="20"/>
        </w:rPr>
        <w:t xml:space="preserve">is position is located in the </w:t>
      </w:r>
      <w:r w:rsidR="008110CB">
        <w:rPr>
          <w:rFonts w:cs="Arial"/>
          <w:sz w:val="20"/>
          <w:szCs w:val="20"/>
        </w:rPr>
        <w:t xml:space="preserve">Central Electrical Services </w:t>
      </w:r>
      <w:r w:rsidR="001602EC">
        <w:rPr>
          <w:rFonts w:cs="Arial"/>
          <w:sz w:val="20"/>
          <w:szCs w:val="20"/>
        </w:rPr>
        <w:t xml:space="preserve">(TFHE) organization of Construction and Maintenance Services (TFH), Transmission Field Services (TF), Transmission Services (T), </w:t>
      </w:r>
      <w:r w:rsidR="001602EC" w:rsidRPr="00014079">
        <w:rPr>
          <w:rFonts w:cstheme="minorHAnsi"/>
          <w:sz w:val="20"/>
          <w:szCs w:val="20"/>
        </w:rPr>
        <w:t>Bonnevil</w:t>
      </w:r>
      <w:r w:rsidR="001602EC">
        <w:rPr>
          <w:rFonts w:cstheme="minorHAnsi"/>
          <w:sz w:val="20"/>
          <w:szCs w:val="20"/>
        </w:rPr>
        <w:t>le Power Administration (BPA).  This position serves as the Electrician Foreman III (Construction) in TFHE.</w:t>
      </w:r>
      <w:r w:rsidR="00830803">
        <w:rPr>
          <w:rFonts w:cstheme="minorHAnsi"/>
          <w:sz w:val="20"/>
          <w:szCs w:val="20"/>
        </w:rPr>
        <w:t xml:space="preserve">  </w:t>
      </w:r>
      <w:r w:rsidR="001602EC" w:rsidRPr="001602EC">
        <w:rPr>
          <w:rFonts w:cstheme="minorHAnsi"/>
          <w:sz w:val="20"/>
          <w:szCs w:val="20"/>
        </w:rPr>
        <w:t xml:space="preserve">Central Electrical Services </w:t>
      </w:r>
      <w:r w:rsidR="001602EC">
        <w:rPr>
          <w:rFonts w:cstheme="minorHAnsi"/>
          <w:bCs/>
          <w:sz w:val="20"/>
          <w:szCs w:val="20"/>
        </w:rPr>
        <w:t>is responsible for</w:t>
      </w:r>
      <w:r w:rsidR="001602EC" w:rsidRPr="001602EC">
        <w:rPr>
          <w:rFonts w:cstheme="minorHAnsi"/>
          <w:bCs/>
          <w:sz w:val="20"/>
          <w:szCs w:val="20"/>
        </w:rPr>
        <w:t xml:space="preserve"> </w:t>
      </w:r>
      <w:r w:rsidR="001602EC">
        <w:rPr>
          <w:rFonts w:cstheme="minorHAnsi"/>
          <w:bCs/>
          <w:sz w:val="20"/>
          <w:szCs w:val="20"/>
        </w:rPr>
        <w:t xml:space="preserve">fabricating panels and outdoor electrical parts, building substations, splicing cable, rebuilding transformers, </w:t>
      </w:r>
      <w:r w:rsidR="001602EC" w:rsidRPr="001602EC">
        <w:rPr>
          <w:rFonts w:cstheme="minorHAnsi"/>
          <w:bCs/>
          <w:sz w:val="20"/>
          <w:szCs w:val="20"/>
        </w:rPr>
        <w:t>assembl</w:t>
      </w:r>
      <w:r w:rsidR="001602EC">
        <w:rPr>
          <w:rFonts w:cstheme="minorHAnsi"/>
          <w:bCs/>
          <w:sz w:val="20"/>
          <w:szCs w:val="20"/>
        </w:rPr>
        <w:t xml:space="preserve">ing and installing switchboards, rehabilitating spare parts and maintaining emergency mobile equipment. </w:t>
      </w:r>
    </w:p>
    <w:p w:rsidR="005C2739" w:rsidRPr="002B6AF2" w:rsidRDefault="005C2739" w:rsidP="005C2739">
      <w:pPr>
        <w:rPr>
          <w:rFonts w:cs="Arial"/>
          <w:b/>
          <w:sz w:val="20"/>
          <w:szCs w:val="20"/>
          <w:u w:val="single"/>
        </w:rPr>
      </w:pPr>
    </w:p>
    <w:p w:rsidR="005C2739" w:rsidRPr="00B10F6E" w:rsidRDefault="005C2739" w:rsidP="005C2739">
      <w:pPr>
        <w:rPr>
          <w:rFonts w:cs="Arial"/>
          <w:b/>
          <w:sz w:val="20"/>
          <w:szCs w:val="20"/>
        </w:rPr>
      </w:pPr>
      <w:r w:rsidRPr="002B6AF2">
        <w:rPr>
          <w:rFonts w:cs="Arial"/>
          <w:b/>
          <w:sz w:val="20"/>
          <w:szCs w:val="20"/>
          <w:u w:val="single"/>
        </w:rPr>
        <w:t>DUTIES</w:t>
      </w:r>
      <w:r w:rsidR="001602EC">
        <w:rPr>
          <w:rFonts w:cs="Arial"/>
          <w:b/>
          <w:sz w:val="20"/>
          <w:szCs w:val="20"/>
        </w:rPr>
        <w:t>:</w:t>
      </w:r>
    </w:p>
    <w:p w:rsidR="005C2739" w:rsidRPr="001602EC" w:rsidRDefault="001602EC" w:rsidP="001602EC">
      <w:pPr>
        <w:pStyle w:val="ListParagraph"/>
        <w:numPr>
          <w:ilvl w:val="0"/>
          <w:numId w:val="9"/>
        </w:numPr>
        <w:rPr>
          <w:rFonts w:cs="Arial"/>
          <w:b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Serves as the </w:t>
      </w:r>
      <w:r w:rsidR="00E27D17">
        <w:rPr>
          <w:rFonts w:cs="Arial"/>
          <w:bCs/>
          <w:sz w:val="20"/>
          <w:szCs w:val="20"/>
        </w:rPr>
        <w:t xml:space="preserve">Supervisor of </w:t>
      </w:r>
      <w:r>
        <w:rPr>
          <w:rFonts w:cs="Arial"/>
          <w:bCs/>
          <w:sz w:val="20"/>
          <w:szCs w:val="20"/>
        </w:rPr>
        <w:t xml:space="preserve">substation maintenance crew </w:t>
      </w:r>
      <w:r w:rsidR="00E27D17">
        <w:rPr>
          <w:rFonts w:cs="Arial"/>
          <w:bCs/>
          <w:sz w:val="20"/>
          <w:szCs w:val="20"/>
        </w:rPr>
        <w:t xml:space="preserve">members </w:t>
      </w:r>
      <w:r>
        <w:rPr>
          <w:rFonts w:cs="Arial"/>
          <w:bCs/>
          <w:sz w:val="20"/>
          <w:szCs w:val="20"/>
        </w:rPr>
        <w:t>responsible for major construction projects.</w:t>
      </w:r>
      <w:r w:rsidR="00E27D17">
        <w:rPr>
          <w:rFonts w:cs="Arial"/>
          <w:bCs/>
          <w:sz w:val="20"/>
          <w:szCs w:val="20"/>
        </w:rPr>
        <w:t xml:space="preserve">  Responsibilities include assigning duties to crew members, maintaining discipline of crew members, enforcing safety rules, reviewing and inspecting work and ensuring work gets done in a timely and efficient manner.</w:t>
      </w:r>
    </w:p>
    <w:p w:rsidR="001602EC" w:rsidRPr="00E27D17" w:rsidRDefault="00E27D17" w:rsidP="001602EC">
      <w:pPr>
        <w:pStyle w:val="ListParagraph"/>
        <w:numPr>
          <w:ilvl w:val="0"/>
          <w:numId w:val="9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Plans and schedules work to be p</w:t>
      </w:r>
      <w:r w:rsidR="00830803">
        <w:rPr>
          <w:rFonts w:cs="Arial"/>
          <w:bCs/>
          <w:sz w:val="20"/>
          <w:szCs w:val="20"/>
        </w:rPr>
        <w:t>erformed by c</w:t>
      </w:r>
      <w:r>
        <w:rPr>
          <w:rFonts w:cs="Arial"/>
          <w:bCs/>
          <w:sz w:val="20"/>
          <w:szCs w:val="20"/>
        </w:rPr>
        <w:t>rew members.</w:t>
      </w:r>
    </w:p>
    <w:p w:rsidR="001602EC" w:rsidRPr="00E27D17" w:rsidRDefault="00E27D17" w:rsidP="001602EC">
      <w:pPr>
        <w:pStyle w:val="ListParagraph"/>
        <w:numPr>
          <w:ilvl w:val="0"/>
          <w:numId w:val="9"/>
        </w:numPr>
        <w:rPr>
          <w:rFonts w:cs="Arial"/>
          <w:bCs/>
          <w:sz w:val="20"/>
          <w:szCs w:val="20"/>
        </w:rPr>
      </w:pPr>
      <w:r w:rsidRPr="00E47F1E">
        <w:rPr>
          <w:rFonts w:eastAsia="Times New Roman" w:cstheme="minorHAnsi"/>
          <w:sz w:val="20"/>
          <w:szCs w:val="20"/>
        </w:rPr>
        <w:t>Aids and advise</w:t>
      </w:r>
      <w:r>
        <w:rPr>
          <w:rFonts w:eastAsia="Times New Roman" w:cstheme="minorHAnsi"/>
          <w:sz w:val="20"/>
          <w:szCs w:val="20"/>
        </w:rPr>
        <w:t>s other craft foremen, journeyme</w:t>
      </w:r>
      <w:r w:rsidRPr="00E47F1E">
        <w:rPr>
          <w:rFonts w:eastAsia="Times New Roman" w:cstheme="minorHAnsi"/>
          <w:sz w:val="20"/>
          <w:szCs w:val="20"/>
        </w:rPr>
        <w:t>n electricians, apprentices, electrician helpers, laborers, and journeymen of cooperating crafts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7F1E">
        <w:rPr>
          <w:rFonts w:eastAsia="Times New Roman" w:cstheme="minorHAnsi"/>
          <w:sz w:val="20"/>
          <w:szCs w:val="20"/>
        </w:rPr>
        <w:t>in various phases of ele</w:t>
      </w:r>
      <w:r>
        <w:rPr>
          <w:rFonts w:eastAsia="Times New Roman" w:cstheme="minorHAnsi"/>
          <w:sz w:val="20"/>
          <w:szCs w:val="20"/>
        </w:rPr>
        <w:t>ctrical construction activities.</w:t>
      </w:r>
    </w:p>
    <w:p w:rsidR="00E27D17" w:rsidRPr="00E27D17" w:rsidRDefault="00E47F1E" w:rsidP="00E27D1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44" w:hanging="720"/>
        <w:rPr>
          <w:rFonts w:eastAsia="Times New Roman" w:cstheme="minorHAnsi"/>
          <w:sz w:val="20"/>
          <w:szCs w:val="20"/>
        </w:rPr>
      </w:pPr>
      <w:r w:rsidRPr="001602EC">
        <w:rPr>
          <w:rFonts w:eastAsia="Times New Roman" w:cstheme="minorHAnsi"/>
          <w:sz w:val="20"/>
          <w:szCs w:val="20"/>
        </w:rPr>
        <w:tab/>
      </w:r>
    </w:p>
    <w:p w:rsidR="0020201C" w:rsidRDefault="005C2739" w:rsidP="0020201C">
      <w:pPr>
        <w:rPr>
          <w:rFonts w:cs="Arial"/>
          <w:bCs/>
          <w:sz w:val="20"/>
          <w:szCs w:val="20"/>
        </w:rPr>
      </w:pPr>
      <w:r w:rsidRPr="00CF3090">
        <w:rPr>
          <w:rFonts w:cs="Arial"/>
          <w:b/>
          <w:bCs/>
          <w:sz w:val="20"/>
          <w:szCs w:val="20"/>
          <w:u w:val="single"/>
        </w:rPr>
        <w:t>SPECIAL SKILLS &amp; ABILITIES</w:t>
      </w:r>
      <w:r w:rsidRPr="00CF3090">
        <w:rPr>
          <w:rFonts w:cs="Arial"/>
          <w:b/>
          <w:bCs/>
          <w:sz w:val="20"/>
          <w:szCs w:val="20"/>
        </w:rPr>
        <w:t>:</w:t>
      </w:r>
      <w:r w:rsidRPr="00CF3090">
        <w:rPr>
          <w:rFonts w:cs="Arial"/>
          <w:bCs/>
          <w:sz w:val="20"/>
          <w:szCs w:val="20"/>
        </w:rPr>
        <w:t xml:space="preserve"> </w:t>
      </w:r>
    </w:p>
    <w:p w:rsidR="00E47F1E" w:rsidRPr="0092755C" w:rsidRDefault="00830803" w:rsidP="00830803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eastAsia="Times New Roman" w:cstheme="minorHAnsi"/>
          <w:sz w:val="20"/>
          <w:szCs w:val="20"/>
        </w:rPr>
      </w:pPr>
      <w:r w:rsidRPr="0092755C">
        <w:rPr>
          <w:rFonts w:eastAsia="Times New Roman" w:cstheme="minorHAnsi"/>
          <w:sz w:val="20"/>
          <w:szCs w:val="20"/>
        </w:rPr>
        <w:t>Must be a qualified Journeyman Electrician</w:t>
      </w:r>
    </w:p>
    <w:p w:rsidR="00830803" w:rsidRDefault="00830803" w:rsidP="00830803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Knowledge of high voltage and low voltage electrical equipment</w:t>
      </w:r>
    </w:p>
    <w:p w:rsidR="00830803" w:rsidRDefault="00830803" w:rsidP="00830803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Knowledge of technical practices used in power system electrician work</w:t>
      </w:r>
    </w:p>
    <w:p w:rsidR="00830803" w:rsidRDefault="00830803" w:rsidP="00830803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Ability to troubleshoot electrical and mechanical issues</w:t>
      </w:r>
    </w:p>
    <w:p w:rsidR="00830803" w:rsidRDefault="00830803" w:rsidP="00830803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Ability to plan, organize and manage construction projects</w:t>
      </w:r>
    </w:p>
    <w:p w:rsidR="00830803" w:rsidRDefault="00830803" w:rsidP="00830803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Ability to work with others</w:t>
      </w:r>
    </w:p>
    <w:p w:rsidR="00830803" w:rsidRPr="00830803" w:rsidRDefault="00830803" w:rsidP="00830803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Ability to lead or supervise</w:t>
      </w:r>
    </w:p>
    <w:p w:rsidR="00E47F1E" w:rsidRDefault="00E47F1E" w:rsidP="00E47F1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B10F6E" w:rsidRDefault="00E47F1E" w:rsidP="007640CE">
      <w:pPr>
        <w:rPr>
          <w:rFonts w:cs="Arial"/>
          <w:bCs/>
          <w:sz w:val="20"/>
          <w:szCs w:val="20"/>
        </w:rPr>
      </w:pPr>
      <w:r w:rsidRPr="00830803">
        <w:rPr>
          <w:rStyle w:val="Strong"/>
          <w:rFonts w:cs="Arial"/>
          <w:color w:val="212121"/>
          <w:sz w:val="20"/>
          <w:szCs w:val="20"/>
          <w:u w:val="single"/>
          <w:lang w:val="en"/>
        </w:rPr>
        <w:t>S</w:t>
      </w:r>
      <w:r w:rsidR="005C2739" w:rsidRPr="00830803">
        <w:rPr>
          <w:rStyle w:val="Strong"/>
          <w:rFonts w:cs="Arial"/>
          <w:color w:val="212121"/>
          <w:sz w:val="20"/>
          <w:szCs w:val="20"/>
          <w:u w:val="single"/>
          <w:lang w:val="en"/>
        </w:rPr>
        <w:t>PECIALIZED EXPERIENCE REQUIREMENTS</w:t>
      </w:r>
      <w:r w:rsidR="005C2739" w:rsidRPr="00830803">
        <w:rPr>
          <w:rStyle w:val="Strong"/>
          <w:rFonts w:cs="Arial"/>
          <w:color w:val="212121"/>
          <w:sz w:val="20"/>
          <w:szCs w:val="20"/>
          <w:lang w:val="en"/>
        </w:rPr>
        <w:t xml:space="preserve"> </w:t>
      </w:r>
    </w:p>
    <w:p w:rsidR="007640CE" w:rsidRPr="007640CE" w:rsidRDefault="007640CE" w:rsidP="007640CE">
      <w:pPr>
        <w:rPr>
          <w:sz w:val="20"/>
          <w:szCs w:val="20"/>
        </w:rPr>
      </w:pPr>
      <w:r w:rsidRPr="007640CE">
        <w:rPr>
          <w:bCs/>
          <w:iCs/>
          <w:sz w:val="20"/>
          <w:szCs w:val="20"/>
        </w:rPr>
        <w:t>Ability to successfully lead a team of High Voltage Electricians in constructing, installing, and calibrating electrical sub-stations, power generation/transmission/distribution equipment and systems at 11,000 to 500,000 volts; constructing electrical sub-stations and transformer banks; and erecting or modifying steel structures and bus work. This includes performing long and short-term project planning, scheduling work, rating and evaluating employee performance</w:t>
      </w:r>
      <w:proofErr w:type="gramStart"/>
      <w:r w:rsidRPr="007640CE">
        <w:rPr>
          <w:bCs/>
          <w:iCs/>
          <w:sz w:val="20"/>
          <w:szCs w:val="20"/>
        </w:rPr>
        <w:t>;</w:t>
      </w:r>
      <w:proofErr w:type="gramEnd"/>
      <w:r w:rsidRPr="007640CE">
        <w:rPr>
          <w:bCs/>
          <w:iCs/>
          <w:sz w:val="20"/>
          <w:szCs w:val="20"/>
        </w:rPr>
        <w:t xml:space="preserve"> developing subordinates through training, and assuming overall responsibility for completion of construction and installation projects.</w:t>
      </w:r>
    </w:p>
    <w:p w:rsidR="007640CE" w:rsidRDefault="007640CE" w:rsidP="007640CE">
      <w:pPr>
        <w:rPr>
          <w:bCs/>
        </w:rPr>
      </w:pPr>
    </w:p>
    <w:p w:rsidR="00B10F6E" w:rsidRDefault="00B10F6E" w:rsidP="005C2739">
      <w:pPr>
        <w:rPr>
          <w:bCs/>
        </w:rPr>
      </w:pPr>
    </w:p>
    <w:p w:rsidR="005C2739" w:rsidRPr="00CF3090" w:rsidRDefault="005C2739" w:rsidP="005C2739">
      <w:pPr>
        <w:rPr>
          <w:rFonts w:cs="Arial"/>
          <w:sz w:val="20"/>
          <w:szCs w:val="20"/>
        </w:rPr>
      </w:pPr>
      <w:r w:rsidRPr="00CF3090">
        <w:rPr>
          <w:rFonts w:cs="Arial"/>
          <w:b/>
          <w:bCs/>
          <w:sz w:val="20"/>
          <w:szCs w:val="20"/>
          <w:u w:val="single"/>
        </w:rPr>
        <w:t>HOW TO APPLY</w:t>
      </w:r>
      <w:r w:rsidRPr="00CF3090">
        <w:rPr>
          <w:rFonts w:cs="Arial"/>
          <w:b/>
          <w:bCs/>
          <w:sz w:val="20"/>
          <w:szCs w:val="20"/>
        </w:rPr>
        <w:t>:</w:t>
      </w:r>
      <w:r w:rsidRPr="00CF3090">
        <w:rPr>
          <w:rFonts w:cs="Arial"/>
          <w:sz w:val="20"/>
          <w:szCs w:val="20"/>
        </w:rPr>
        <w:t xml:space="preserve">  </w:t>
      </w:r>
    </w:p>
    <w:p w:rsidR="005C2739" w:rsidRPr="002B6AF2" w:rsidRDefault="005C2739" w:rsidP="005C2739">
      <w:pPr>
        <w:rPr>
          <w:rFonts w:cs="Arial"/>
          <w:sz w:val="20"/>
          <w:szCs w:val="20"/>
        </w:rPr>
      </w:pPr>
      <w:r w:rsidRPr="00CF3090">
        <w:rPr>
          <w:rFonts w:cs="Arial"/>
          <w:sz w:val="20"/>
          <w:szCs w:val="20"/>
        </w:rPr>
        <w:t xml:space="preserve">Complete a brief memo of interest describing your interest in this detail – temporary promotion assignment and your relevant </w:t>
      </w:r>
      <w:r w:rsidRPr="002B6AF2">
        <w:rPr>
          <w:rFonts w:cs="Arial"/>
          <w:sz w:val="20"/>
          <w:szCs w:val="20"/>
        </w:rPr>
        <w:t xml:space="preserve">experience.  Submit your memo and a signed Supervisory Acknowledgement statement (below) by close of business on </w:t>
      </w:r>
      <w:r w:rsidR="007640CE">
        <w:rPr>
          <w:rFonts w:cs="Arial"/>
          <w:b/>
          <w:sz w:val="20"/>
          <w:szCs w:val="20"/>
          <w:u w:val="single"/>
        </w:rPr>
        <w:t>3/27</w:t>
      </w:r>
      <w:r w:rsidR="0092755C" w:rsidRPr="0092755C">
        <w:rPr>
          <w:rFonts w:cs="Arial"/>
          <w:b/>
          <w:sz w:val="20"/>
          <w:szCs w:val="20"/>
          <w:u w:val="single"/>
        </w:rPr>
        <w:t>/2023</w:t>
      </w:r>
      <w:r w:rsidR="006E2C84" w:rsidRPr="002B6AF2">
        <w:rPr>
          <w:rFonts w:cs="Arial"/>
          <w:sz w:val="20"/>
          <w:szCs w:val="20"/>
        </w:rPr>
        <w:t xml:space="preserve"> to </w:t>
      </w:r>
      <w:r w:rsidR="00594B86">
        <w:rPr>
          <w:rFonts w:cs="Arial"/>
          <w:sz w:val="20"/>
          <w:szCs w:val="20"/>
        </w:rPr>
        <w:t>daray</w:t>
      </w:r>
      <w:r w:rsidR="00830803">
        <w:rPr>
          <w:rFonts w:cs="Arial"/>
          <w:sz w:val="20"/>
          <w:szCs w:val="20"/>
        </w:rPr>
        <w:t>@bpa.gov.</w:t>
      </w:r>
    </w:p>
    <w:p w:rsidR="00830803" w:rsidRDefault="00830803">
      <w:pPr>
        <w:spacing w:after="160" w:line="259" w:lineRule="auto"/>
        <w:rPr>
          <w:rFonts w:eastAsiaTheme="majorEastAsia" w:cs="Arial"/>
          <w:b/>
          <w:bCs/>
          <w:i/>
          <w:iCs/>
          <w:color w:val="5B9BD5" w:themeColor="accent1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5C2739" w:rsidRPr="002B6AF2" w:rsidRDefault="005C2739" w:rsidP="005C2739">
      <w:pPr>
        <w:pStyle w:val="Heading4"/>
        <w:rPr>
          <w:rFonts w:asciiTheme="minorHAnsi" w:hAnsiTheme="minorHAnsi" w:cs="Arial"/>
          <w:sz w:val="20"/>
          <w:szCs w:val="20"/>
        </w:rPr>
      </w:pPr>
      <w:r w:rsidRPr="002B6AF2">
        <w:rPr>
          <w:rFonts w:asciiTheme="minorHAnsi" w:hAnsiTheme="minorHAnsi" w:cs="Arial"/>
          <w:sz w:val="20"/>
          <w:szCs w:val="20"/>
        </w:rPr>
        <w:lastRenderedPageBreak/>
        <w:t>SUPERVISOR’S ACKNOWLEDGEMENT</w:t>
      </w:r>
      <w:r w:rsidR="002B6AF2">
        <w:rPr>
          <w:rFonts w:asciiTheme="minorHAnsi" w:hAnsiTheme="minorHAnsi" w:cs="Arial"/>
          <w:sz w:val="20"/>
          <w:szCs w:val="20"/>
        </w:rPr>
        <w:t xml:space="preserve">. </w:t>
      </w:r>
      <w:r w:rsidRPr="002B6AF2">
        <w:rPr>
          <w:rFonts w:asciiTheme="minorHAnsi" w:hAnsiTheme="minorHAnsi" w:cs="Arial"/>
          <w:sz w:val="20"/>
          <w:szCs w:val="20"/>
        </w:rPr>
        <w:t xml:space="preserve"> </w:t>
      </w:r>
    </w:p>
    <w:p w:rsidR="005C2739" w:rsidRPr="002B6AF2" w:rsidRDefault="005C2739" w:rsidP="005C2739">
      <w:pPr>
        <w:rPr>
          <w:rFonts w:cs="Arial"/>
          <w:b/>
          <w:bCs/>
          <w:sz w:val="20"/>
          <w:szCs w:val="20"/>
        </w:rPr>
      </w:pPr>
    </w:p>
    <w:p w:rsidR="005C2739" w:rsidRPr="00CF3090" w:rsidRDefault="005C2739" w:rsidP="005C2739">
      <w:pPr>
        <w:rPr>
          <w:rFonts w:cs="Arial"/>
          <w:b/>
          <w:bCs/>
          <w:i/>
          <w:iCs/>
          <w:sz w:val="20"/>
          <w:szCs w:val="20"/>
        </w:rPr>
      </w:pPr>
      <w:r w:rsidRPr="002B6AF2">
        <w:rPr>
          <w:rFonts w:cs="Arial"/>
          <w:b/>
          <w:bCs/>
          <w:sz w:val="20"/>
          <w:szCs w:val="20"/>
        </w:rPr>
        <w:t>INTEREST ANNOUNCEMENT</w:t>
      </w:r>
      <w:r w:rsidRPr="002B6AF2">
        <w:rPr>
          <w:rFonts w:cs="Arial"/>
          <w:b/>
          <w:bCs/>
          <w:i/>
          <w:iCs/>
          <w:sz w:val="20"/>
          <w:szCs w:val="20"/>
        </w:rPr>
        <w:t xml:space="preserve"> </w:t>
      </w:r>
      <w:r w:rsidRPr="002B6AF2">
        <w:rPr>
          <w:rFonts w:cs="Arial"/>
          <w:b/>
          <w:bCs/>
          <w:sz w:val="20"/>
          <w:szCs w:val="20"/>
        </w:rPr>
        <w:t>(</w:t>
      </w:r>
      <w:r w:rsidR="006E2C84" w:rsidRPr="002B6AF2">
        <w:rPr>
          <w:rFonts w:cs="Arial"/>
          <w:b/>
          <w:bCs/>
          <w:sz w:val="20"/>
          <w:szCs w:val="20"/>
        </w:rPr>
        <w:t>23-</w:t>
      </w:r>
      <w:r w:rsidR="00830803">
        <w:rPr>
          <w:rFonts w:cs="Arial"/>
          <w:b/>
          <w:bCs/>
          <w:sz w:val="20"/>
          <w:szCs w:val="20"/>
        </w:rPr>
        <w:t>TFHE</w:t>
      </w:r>
      <w:r w:rsidRPr="002B6AF2">
        <w:rPr>
          <w:rFonts w:cs="Arial"/>
          <w:b/>
          <w:bCs/>
          <w:sz w:val="20"/>
          <w:szCs w:val="20"/>
        </w:rPr>
        <w:t>-</w:t>
      </w:r>
      <w:r w:rsidR="007640CE">
        <w:rPr>
          <w:rFonts w:cs="Arial"/>
          <w:b/>
          <w:bCs/>
          <w:sz w:val="20"/>
          <w:szCs w:val="20"/>
        </w:rPr>
        <w:t>002</w:t>
      </w:r>
      <w:r w:rsidRPr="002B6AF2">
        <w:rPr>
          <w:rFonts w:cs="Arial"/>
          <w:b/>
          <w:bCs/>
          <w:sz w:val="20"/>
          <w:szCs w:val="20"/>
        </w:rPr>
        <w:t>)</w:t>
      </w:r>
      <w:r>
        <w:rPr>
          <w:rFonts w:cs="Arial"/>
          <w:b/>
          <w:bCs/>
          <w:sz w:val="20"/>
          <w:szCs w:val="20"/>
        </w:rPr>
        <w:t xml:space="preserve"> </w:t>
      </w:r>
    </w:p>
    <w:p w:rsidR="005C2739" w:rsidRPr="00CF3090" w:rsidRDefault="005C2739" w:rsidP="005C2739">
      <w:pPr>
        <w:rPr>
          <w:rFonts w:cs="Arial"/>
          <w:sz w:val="20"/>
          <w:szCs w:val="20"/>
        </w:rPr>
      </w:pPr>
    </w:p>
    <w:p w:rsidR="005C2739" w:rsidRPr="00CF3090" w:rsidRDefault="005C2739" w:rsidP="005C2739">
      <w:pPr>
        <w:rPr>
          <w:rFonts w:cs="Arial"/>
          <w:sz w:val="20"/>
          <w:szCs w:val="20"/>
        </w:rPr>
      </w:pPr>
    </w:p>
    <w:p w:rsidR="005C2739" w:rsidRPr="00CF3090" w:rsidRDefault="005C2739" w:rsidP="005C2739">
      <w:pPr>
        <w:rPr>
          <w:rFonts w:cs="Arial"/>
          <w:sz w:val="20"/>
          <w:szCs w:val="20"/>
        </w:rPr>
      </w:pPr>
      <w:r w:rsidRPr="00CF3090">
        <w:rPr>
          <w:rFonts w:cs="Arial"/>
          <w:sz w:val="20"/>
          <w:szCs w:val="20"/>
        </w:rPr>
        <w:t>I acknowledge that _____________________________________ has requested consideration for this position.  I understand this temporary assignment is a detail or temporary promotion NTE 120 days.</w:t>
      </w:r>
    </w:p>
    <w:p w:rsidR="005C2739" w:rsidRPr="00CF3090" w:rsidRDefault="005C2739" w:rsidP="005C2739">
      <w:pPr>
        <w:rPr>
          <w:rFonts w:cs="Arial"/>
          <w:iCs/>
          <w:sz w:val="20"/>
          <w:szCs w:val="20"/>
        </w:rPr>
      </w:pPr>
    </w:p>
    <w:p w:rsidR="005C2739" w:rsidRPr="00E13085" w:rsidRDefault="005C2739" w:rsidP="005C2739">
      <w:pPr>
        <w:rPr>
          <w:rFonts w:cs="Arial"/>
          <w:sz w:val="20"/>
          <w:szCs w:val="20"/>
        </w:rPr>
      </w:pPr>
      <w:r w:rsidRPr="00CF3090">
        <w:rPr>
          <w:rFonts w:cs="Arial"/>
          <w:sz w:val="20"/>
          <w:szCs w:val="20"/>
        </w:rPr>
        <w:t xml:space="preserve">I am willing to consider approving the detail and understand the salary, travel, lodging, M&amp;IE costs and/or FTE for the duration of the detail will be </w:t>
      </w:r>
      <w:r w:rsidR="002B6AF2">
        <w:rPr>
          <w:rFonts w:cs="Arial"/>
          <w:sz w:val="20"/>
          <w:szCs w:val="20"/>
        </w:rPr>
        <w:t xml:space="preserve">funded by </w:t>
      </w:r>
      <w:r w:rsidR="00830803">
        <w:rPr>
          <w:rFonts w:cs="Arial"/>
          <w:sz w:val="20"/>
          <w:szCs w:val="20"/>
        </w:rPr>
        <w:t>TFHE.</w:t>
      </w:r>
    </w:p>
    <w:p w:rsidR="005C2739" w:rsidRPr="00CF3090" w:rsidRDefault="005C2739" w:rsidP="005C2739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iCs/>
          <w:sz w:val="20"/>
          <w:szCs w:val="20"/>
        </w:rPr>
      </w:pPr>
    </w:p>
    <w:p w:rsidR="005C2739" w:rsidRPr="00CF3090" w:rsidRDefault="005C2739" w:rsidP="005C2739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0"/>
          <w:szCs w:val="20"/>
        </w:rPr>
      </w:pPr>
    </w:p>
    <w:p w:rsidR="005C2739" w:rsidRPr="00CF3090" w:rsidRDefault="005C2739" w:rsidP="005C2739">
      <w:pPr>
        <w:rPr>
          <w:rFonts w:cs="Arial"/>
          <w:sz w:val="20"/>
          <w:szCs w:val="20"/>
        </w:rPr>
      </w:pPr>
      <w:r w:rsidRPr="00CF3090">
        <w:rPr>
          <w:rFonts w:cs="Arial"/>
          <w:sz w:val="20"/>
          <w:szCs w:val="20"/>
        </w:rPr>
        <w:t>Supervisor’s Signature: _____________________________   Date:  _______________</w:t>
      </w:r>
    </w:p>
    <w:p w:rsidR="005C2739" w:rsidRPr="00CF3090" w:rsidRDefault="005C2739" w:rsidP="005C2739">
      <w:pPr>
        <w:rPr>
          <w:rFonts w:cs="Arial"/>
          <w:sz w:val="20"/>
          <w:szCs w:val="20"/>
        </w:rPr>
      </w:pPr>
    </w:p>
    <w:p w:rsidR="005C2739" w:rsidRPr="00CF3090" w:rsidRDefault="005C2739" w:rsidP="005C2739">
      <w:pPr>
        <w:rPr>
          <w:rFonts w:cs="Arial"/>
          <w:sz w:val="20"/>
          <w:szCs w:val="20"/>
        </w:rPr>
      </w:pPr>
    </w:p>
    <w:p w:rsidR="00F9372C" w:rsidRDefault="005C2739">
      <w:r w:rsidRPr="00CF3090">
        <w:rPr>
          <w:rFonts w:cs="Arial"/>
          <w:sz w:val="20"/>
          <w:szCs w:val="20"/>
        </w:rPr>
        <w:t>Supervisor’s Title: _________________________________   Routing: _____________</w:t>
      </w:r>
    </w:p>
    <w:sectPr w:rsidR="00F93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C6BA42"/>
    <w:lvl w:ilvl="0">
      <w:numFmt w:val="decimal"/>
      <w:lvlText w:val="*"/>
      <w:lvlJc w:val="left"/>
    </w:lvl>
  </w:abstractNum>
  <w:abstractNum w:abstractNumId="1" w15:restartNumberingAfterBreak="0">
    <w:nsid w:val="021E7722"/>
    <w:multiLevelType w:val="hybridMultilevel"/>
    <w:tmpl w:val="6958B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08A1"/>
    <w:multiLevelType w:val="hybridMultilevel"/>
    <w:tmpl w:val="42C2704A"/>
    <w:lvl w:ilvl="0" w:tplc="F4CA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97B2F"/>
    <w:multiLevelType w:val="hybridMultilevel"/>
    <w:tmpl w:val="2D465E1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D064BF6"/>
    <w:multiLevelType w:val="hybridMultilevel"/>
    <w:tmpl w:val="D0CCC6A4"/>
    <w:lvl w:ilvl="0" w:tplc="0ABE92D2">
      <w:start w:val="1"/>
      <w:numFmt w:val="decimal"/>
      <w:lvlText w:val="%1. 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4693A"/>
    <w:multiLevelType w:val="hybridMultilevel"/>
    <w:tmpl w:val="51F8236E"/>
    <w:lvl w:ilvl="0" w:tplc="0ABE92D2">
      <w:start w:val="1"/>
      <w:numFmt w:val="decimal"/>
      <w:lvlText w:val="%1. 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82F3C"/>
    <w:multiLevelType w:val="hybridMultilevel"/>
    <w:tmpl w:val="A7725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8681D"/>
    <w:multiLevelType w:val="hybridMultilevel"/>
    <w:tmpl w:val="C2061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2410D"/>
    <w:multiLevelType w:val="multilevel"/>
    <w:tmpl w:val="C0F8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60416"/>
    <w:multiLevelType w:val="multilevel"/>
    <w:tmpl w:val="5F0232D8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FA68B2"/>
    <w:multiLevelType w:val="hybridMultilevel"/>
    <w:tmpl w:val="85A22DEE"/>
    <w:lvl w:ilvl="0" w:tplc="0ABE92D2">
      <w:start w:val="1"/>
      <w:numFmt w:val="decimal"/>
      <w:lvlText w:val="%1. 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cs="Times New Roman" w:hint="default"/>
          <w:sz w:val="16"/>
          <w:szCs w:val="16"/>
        </w:rPr>
      </w:lvl>
    </w:lvlOverride>
  </w:num>
  <w:num w:numId="2">
    <w:abstractNumId w:val="8"/>
  </w:num>
  <w:num w:numId="3">
    <w:abstractNumId w:val="6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39"/>
    <w:rsid w:val="00064DC8"/>
    <w:rsid w:val="000B4D69"/>
    <w:rsid w:val="0010607D"/>
    <w:rsid w:val="001602EC"/>
    <w:rsid w:val="0020201C"/>
    <w:rsid w:val="00274925"/>
    <w:rsid w:val="002B6AF2"/>
    <w:rsid w:val="002F6ED3"/>
    <w:rsid w:val="003659C6"/>
    <w:rsid w:val="003B16E8"/>
    <w:rsid w:val="003C4496"/>
    <w:rsid w:val="00463E7A"/>
    <w:rsid w:val="00594B86"/>
    <w:rsid w:val="005C2739"/>
    <w:rsid w:val="005F19D1"/>
    <w:rsid w:val="006E2C84"/>
    <w:rsid w:val="007640CE"/>
    <w:rsid w:val="0079337B"/>
    <w:rsid w:val="007D5887"/>
    <w:rsid w:val="008110CB"/>
    <w:rsid w:val="00830803"/>
    <w:rsid w:val="008A0663"/>
    <w:rsid w:val="0092755C"/>
    <w:rsid w:val="00935890"/>
    <w:rsid w:val="009F4428"/>
    <w:rsid w:val="00B10F6E"/>
    <w:rsid w:val="00B13A74"/>
    <w:rsid w:val="00CC50CB"/>
    <w:rsid w:val="00D9711F"/>
    <w:rsid w:val="00DA50FB"/>
    <w:rsid w:val="00DB5DF3"/>
    <w:rsid w:val="00E2143C"/>
    <w:rsid w:val="00E27D17"/>
    <w:rsid w:val="00E47F1E"/>
    <w:rsid w:val="00F30E3E"/>
    <w:rsid w:val="00F9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2DD5"/>
  <w15:chartTrackingRefBased/>
  <w15:docId w15:val="{C8E3D057-23F6-4B80-864C-C56132F7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739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5C2739"/>
    <w:pPr>
      <w:keepNext/>
      <w:tabs>
        <w:tab w:val="left" w:pos="1152"/>
        <w:tab w:val="left" w:pos="1584"/>
        <w:tab w:val="left" w:pos="2016"/>
        <w:tab w:val="left" w:pos="6480"/>
      </w:tabs>
      <w:jc w:val="center"/>
      <w:outlineLvl w:val="2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C27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5C2739"/>
    <w:pPr>
      <w:keepNext/>
      <w:jc w:val="center"/>
      <w:outlineLvl w:val="4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2739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5C273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rsid w:val="005C2739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rsid w:val="005C273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273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5C2739"/>
    <w:pPr>
      <w:spacing w:before="100" w:beforeAutospacing="1" w:after="100" w:afterAutospacing="1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273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C2739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2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2739"/>
  </w:style>
  <w:style w:type="paragraph" w:styleId="ListParagraph">
    <w:name w:val="List Paragraph"/>
    <w:basedOn w:val="Normal"/>
    <w:uiPriority w:val="34"/>
    <w:qFormat/>
    <w:rsid w:val="00CC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81640.3E8B17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Rosales,Henry J (BPA) - NHQ-1</dc:creator>
  <cp:keywords/>
  <dc:description/>
  <cp:lastModifiedBy>Monroy Flores,Luisa F (BPA) - EWB-4</cp:lastModifiedBy>
  <cp:revision>2</cp:revision>
  <dcterms:created xsi:type="dcterms:W3CDTF">2023-03-20T16:31:00Z</dcterms:created>
  <dcterms:modified xsi:type="dcterms:W3CDTF">2023-03-20T16:31:00Z</dcterms:modified>
</cp:coreProperties>
</file>