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BC006E" w:rsidRPr="00CF3090" w:rsidTr="00D06C70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06E" w:rsidRPr="00CF3090" w:rsidRDefault="00BC006E" w:rsidP="00DE249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F3090">
              <w:rPr>
                <w:rFonts w:asciiTheme="minorHAnsi" w:hAnsiTheme="minorHAnsi" w:cs="Arial"/>
                <w:b/>
                <w:bCs/>
                <w:noProof/>
                <w:color w:val="000000"/>
              </w:rPr>
              <w:drawing>
                <wp:inline distT="0" distB="0" distL="0" distR="0" wp14:anchorId="3E51E29C" wp14:editId="3E51E29D">
                  <wp:extent cx="1278890" cy="1041400"/>
                  <wp:effectExtent l="19050" t="0" r="0" b="0"/>
                  <wp:docPr id="1" name="Picture 1" descr="cid:image001.jpg@01C81640.3E8B1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1640.3E8B1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06E" w:rsidRPr="00CF3090" w:rsidRDefault="00BC006E" w:rsidP="00DE2492">
            <w:pPr>
              <w:pStyle w:val="Heading3"/>
              <w:tabs>
                <w:tab w:val="left" w:pos="390"/>
              </w:tabs>
              <w:ind w:left="390"/>
              <w:rPr>
                <w:rFonts w:asciiTheme="minorHAnsi" w:hAnsiTheme="minorHAnsi" w:cs="Arial"/>
              </w:rPr>
            </w:pPr>
          </w:p>
          <w:p w:rsidR="00BC006E" w:rsidRPr="00CF3090" w:rsidRDefault="00BC006E" w:rsidP="00DE2492">
            <w:pPr>
              <w:pStyle w:val="Heading3"/>
              <w:tabs>
                <w:tab w:val="clear" w:pos="6480"/>
                <w:tab w:val="left" w:pos="390"/>
              </w:tabs>
              <w:ind w:left="390"/>
              <w:rPr>
                <w:rFonts w:asciiTheme="minorHAnsi" w:hAnsiTheme="minorHAnsi"/>
                <w:sz w:val="24"/>
              </w:rPr>
            </w:pPr>
            <w:r w:rsidRPr="00CF3090">
              <w:rPr>
                <w:rFonts w:asciiTheme="minorHAnsi" w:hAnsiTheme="minorHAnsi" w:cs="Arial"/>
                <w:sz w:val="24"/>
              </w:rPr>
              <w:t>BONNEVILLE POWER ADMINISTRATION</w:t>
            </w:r>
          </w:p>
          <w:p w:rsidR="00BC006E" w:rsidRPr="00CF3090" w:rsidRDefault="00BC006E" w:rsidP="00DE24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3090">
              <w:rPr>
                <w:rFonts w:cs="Arial"/>
                <w:b/>
                <w:bCs/>
                <w:sz w:val="20"/>
                <w:szCs w:val="20"/>
              </w:rPr>
              <w:t xml:space="preserve">NON-COMPETITIVE </w:t>
            </w:r>
            <w:r w:rsidR="006341A0">
              <w:rPr>
                <w:rFonts w:cs="Arial"/>
                <w:b/>
                <w:bCs/>
                <w:sz w:val="20"/>
                <w:szCs w:val="20"/>
              </w:rPr>
              <w:t xml:space="preserve">DETAIL </w:t>
            </w:r>
            <w:r w:rsidRPr="00CF3090">
              <w:rPr>
                <w:rFonts w:cs="Arial"/>
                <w:b/>
                <w:bCs/>
                <w:sz w:val="20"/>
                <w:szCs w:val="20"/>
              </w:rPr>
              <w:t xml:space="preserve">OPPORTUNITY </w:t>
            </w:r>
          </w:p>
          <w:p w:rsidR="00BC006E" w:rsidRPr="00CF3090" w:rsidRDefault="00BC006E" w:rsidP="00DE24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3090">
              <w:rPr>
                <w:rFonts w:cs="Arial"/>
                <w:b/>
                <w:bCs/>
                <w:sz w:val="20"/>
                <w:szCs w:val="20"/>
              </w:rPr>
              <w:t xml:space="preserve">INTEREST ANNOUNCEMENT </w:t>
            </w:r>
            <w:r w:rsidR="00D06C70" w:rsidRPr="00F05C3A">
              <w:rPr>
                <w:rFonts w:cs="Arial"/>
                <w:b/>
                <w:bCs/>
                <w:sz w:val="20"/>
                <w:szCs w:val="20"/>
              </w:rPr>
              <w:t>FY23-</w:t>
            </w:r>
            <w:r w:rsidR="006341A0">
              <w:rPr>
                <w:rFonts w:cs="Arial"/>
                <w:b/>
                <w:bCs/>
                <w:sz w:val="20"/>
                <w:szCs w:val="20"/>
              </w:rPr>
              <w:t>TT</w:t>
            </w:r>
            <w:r w:rsidR="00F05C3A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337DE7">
              <w:rPr>
                <w:rFonts w:cs="Arial"/>
                <w:b/>
                <w:bCs/>
                <w:sz w:val="20"/>
                <w:szCs w:val="20"/>
              </w:rPr>
              <w:t>001-</w:t>
            </w:r>
            <w:r w:rsidR="00337DE7" w:rsidRPr="00337DE7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r w:rsidR="00337DE7" w:rsidRPr="00337DE7">
              <w:rPr>
                <w:rFonts w:cs="Arial"/>
                <w:b/>
                <w:bCs/>
                <w:sz w:val="20"/>
                <w:szCs w:val="20"/>
              </w:rPr>
              <w:t xml:space="preserve">IT Project Manager </w:t>
            </w:r>
            <w:r w:rsidR="000D1602"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0D1602" w:rsidRPr="000D1602">
              <w:rPr>
                <w:rFonts w:cs="Arial"/>
                <w:b/>
                <w:bCs/>
                <w:sz w:val="20"/>
                <w:szCs w:val="20"/>
              </w:rPr>
              <w:t>Director of Transmission Cybersecurity Initiatives</w:t>
            </w:r>
            <w:r w:rsidR="000D1602">
              <w:rPr>
                <w:rFonts w:cs="Arial"/>
                <w:b/>
                <w:bCs/>
                <w:sz w:val="20"/>
                <w:szCs w:val="20"/>
              </w:rPr>
              <w:t xml:space="preserve">) - </w:t>
            </w:r>
            <w:r w:rsidR="00F05C3A">
              <w:rPr>
                <w:rFonts w:cs="Arial"/>
                <w:b/>
                <w:bCs/>
                <w:sz w:val="20"/>
                <w:szCs w:val="20"/>
              </w:rPr>
              <w:t>GS-</w:t>
            </w:r>
            <w:r w:rsidR="006341A0">
              <w:rPr>
                <w:rFonts w:cs="Arial"/>
                <w:b/>
                <w:bCs/>
                <w:sz w:val="20"/>
                <w:szCs w:val="20"/>
              </w:rPr>
              <w:t>2210</w:t>
            </w:r>
            <w:r w:rsidR="00337DE7">
              <w:rPr>
                <w:rFonts w:cs="Arial"/>
                <w:b/>
                <w:bCs/>
                <w:sz w:val="20"/>
                <w:szCs w:val="20"/>
              </w:rPr>
              <w:t>-14-</w:t>
            </w:r>
            <w:r w:rsidR="00337DE7" w:rsidRPr="00900A95">
              <w:rPr>
                <w:rFonts w:cs="Arial"/>
                <w:b/>
                <w:bCs/>
                <w:sz w:val="20"/>
                <w:szCs w:val="20"/>
              </w:rPr>
              <w:t xml:space="preserve"> Temporary Promotion-Detail</w:t>
            </w:r>
          </w:p>
          <w:p w:rsidR="00BC006E" w:rsidRPr="00CF3090" w:rsidRDefault="00BC006E" w:rsidP="00DE249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7681C" w:rsidRDefault="00A932D9" w:rsidP="00DE2492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  <w:t>Director of Transmission Cybersecurity Initiatives</w:t>
            </w:r>
          </w:p>
          <w:p w:rsidR="00BC006E" w:rsidRPr="00CF3090" w:rsidRDefault="00BC006E" w:rsidP="00DE2492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05C3A">
              <w:rPr>
                <w:rFonts w:asciiTheme="minorHAnsi" w:hAnsiTheme="minorHAnsi" w:cs="Arial"/>
                <w:b/>
                <w:bCs/>
                <w:i/>
                <w:iCs/>
              </w:rPr>
              <w:t xml:space="preserve">For Classified position </w:t>
            </w:r>
            <w:r w:rsidR="00A932D9" w:rsidRPr="00EC7BCC">
              <w:rPr>
                <w:rFonts w:cs="Arial"/>
                <w:b/>
                <w:sz w:val="18"/>
                <w:szCs w:val="18"/>
                <w:shd w:val="clear" w:color="auto" w:fill="FFFFFF"/>
              </w:rPr>
              <w:t>J08664</w:t>
            </w:r>
            <w:r w:rsidRPr="00F05C3A">
              <w:rPr>
                <w:rFonts w:asciiTheme="minorHAnsi" w:hAnsiTheme="minorHAnsi" w:cs="Arial"/>
                <w:b/>
                <w:bCs/>
                <w:i/>
                <w:iCs/>
              </w:rPr>
              <w:t>-</w:t>
            </w:r>
            <w:r w:rsidR="0057681C">
              <w:rPr>
                <w:rFonts w:asciiTheme="minorHAnsi" w:hAnsiTheme="minorHAnsi" w:cs="Arial"/>
                <w:b/>
                <w:bCs/>
                <w:i/>
                <w:iCs/>
              </w:rPr>
              <w:t>GS-2210</w:t>
            </w:r>
            <w:r w:rsidRPr="00F05C3A">
              <w:rPr>
                <w:rFonts w:asciiTheme="minorHAnsi" w:hAnsiTheme="minorHAnsi" w:cs="Arial"/>
                <w:b/>
                <w:bCs/>
                <w:i/>
                <w:iCs/>
              </w:rPr>
              <w:t>-</w:t>
            </w:r>
            <w:r w:rsidR="001A1721">
              <w:rPr>
                <w:rFonts w:asciiTheme="minorHAnsi" w:hAnsiTheme="minorHAnsi" w:cs="Arial"/>
                <w:b/>
                <w:bCs/>
                <w:i/>
                <w:iCs/>
              </w:rPr>
              <w:t>14</w:t>
            </w:r>
          </w:p>
          <w:p w:rsidR="00CB3502" w:rsidRPr="003D09B3" w:rsidRDefault="00CB3502" w:rsidP="00DE2492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3D09B3">
              <w:rPr>
                <w:rFonts w:asciiTheme="minorHAnsi" w:hAnsiTheme="minorHAnsi" w:cs="Arial"/>
                <w:b/>
                <w:bCs/>
                <w:i/>
                <w:iCs/>
              </w:rPr>
              <w:t xml:space="preserve">Pay Range: </w:t>
            </w:r>
            <w:r w:rsidR="003D09B3" w:rsidRPr="003D09B3">
              <w:rPr>
                <w:rFonts w:asciiTheme="minorHAnsi" w:hAnsiTheme="minorHAnsi" w:cs="Arial"/>
                <w:b/>
                <w:bCs/>
                <w:i/>
                <w:iCs/>
              </w:rPr>
              <w:t xml:space="preserve">146,874 </w:t>
            </w:r>
            <w:r w:rsidR="00D06C70" w:rsidRPr="003D09B3">
              <w:rPr>
                <w:rFonts w:asciiTheme="minorHAnsi" w:hAnsiTheme="minorHAnsi" w:cs="Arial"/>
                <w:b/>
                <w:bCs/>
                <w:i/>
                <w:iCs/>
              </w:rPr>
              <w:t>- $</w:t>
            </w:r>
            <w:r w:rsidR="003D09B3" w:rsidRPr="003D09B3">
              <w:rPr>
                <w:rFonts w:asciiTheme="minorHAnsi" w:hAnsiTheme="minorHAnsi" w:cs="Arial"/>
                <w:b/>
                <w:bCs/>
                <w:i/>
                <w:iCs/>
              </w:rPr>
              <w:t>183,500</w:t>
            </w:r>
          </w:p>
          <w:p w:rsidR="00BC006E" w:rsidRPr="00EB7C16" w:rsidRDefault="00BC006E" w:rsidP="00DE2492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3D09B3">
              <w:rPr>
                <w:rFonts w:asciiTheme="minorHAnsi" w:hAnsiTheme="minorHAnsi" w:cs="Arial"/>
                <w:b/>
                <w:bCs/>
                <w:i/>
                <w:iCs/>
              </w:rPr>
              <w:t>Full-time</w:t>
            </w:r>
            <w:r w:rsidR="008A290E">
              <w:rPr>
                <w:rFonts w:asciiTheme="minorHAnsi" w:hAnsiTheme="minorHAnsi" w:cs="Arial"/>
                <w:b/>
                <w:bCs/>
                <w:i/>
                <w:iCs/>
              </w:rPr>
              <w:t xml:space="preserve"> </w:t>
            </w:r>
            <w:r w:rsidR="003768B8" w:rsidRPr="003D09B3">
              <w:rPr>
                <w:rFonts w:asciiTheme="minorHAnsi" w:hAnsiTheme="minorHAnsi" w:cs="Arial"/>
                <w:b/>
                <w:bCs/>
                <w:i/>
                <w:iCs/>
              </w:rPr>
              <w:t>detail</w:t>
            </w:r>
            <w:r w:rsidR="0052118A" w:rsidRPr="003D09B3">
              <w:rPr>
                <w:rFonts w:asciiTheme="minorHAnsi" w:hAnsiTheme="minorHAnsi" w:cs="Arial"/>
                <w:b/>
                <w:bCs/>
                <w:i/>
                <w:iCs/>
              </w:rPr>
              <w:t xml:space="preserve"> in 120-day increments</w:t>
            </w:r>
          </w:p>
          <w:p w:rsidR="00CB3502" w:rsidRPr="00CF3090" w:rsidRDefault="00CB3502" w:rsidP="00DE2492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</w:rPr>
              <w:t xml:space="preserve">Number of Vacancies: </w:t>
            </w:r>
            <w:r w:rsidR="00D06C70" w:rsidRPr="00F05C3A">
              <w:rPr>
                <w:rFonts w:asciiTheme="minorHAnsi" w:hAnsiTheme="minorHAnsi" w:cs="Arial"/>
                <w:b/>
                <w:bCs/>
                <w:i/>
                <w:iCs/>
              </w:rPr>
              <w:t>1</w:t>
            </w:r>
          </w:p>
        </w:tc>
      </w:tr>
    </w:tbl>
    <w:p w:rsidR="00BC006E" w:rsidRPr="00CF3090" w:rsidRDefault="00BC006E" w:rsidP="00BC006E">
      <w:pPr>
        <w:pStyle w:val="Heading5"/>
        <w:rPr>
          <w:rFonts w:asciiTheme="minorHAnsi" w:hAnsiTheme="minorHAnsi" w:cs="Arial"/>
          <w:i w:val="0"/>
          <w:sz w:val="20"/>
        </w:rPr>
      </w:pPr>
    </w:p>
    <w:p w:rsidR="00BC006E" w:rsidRPr="00CF3090" w:rsidRDefault="00BC006E" w:rsidP="00BC006E">
      <w:pPr>
        <w:tabs>
          <w:tab w:val="left" w:pos="720"/>
          <w:tab w:val="left" w:pos="1152"/>
          <w:tab w:val="left" w:pos="1584"/>
          <w:tab w:val="left" w:pos="2016"/>
          <w:tab w:val="left" w:pos="6480"/>
        </w:tabs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ab/>
      </w:r>
    </w:p>
    <w:p w:rsidR="00BC006E" w:rsidRPr="00CF3090" w:rsidRDefault="00BC006E" w:rsidP="00BC006E">
      <w:pPr>
        <w:tabs>
          <w:tab w:val="right" w:pos="9360"/>
        </w:tabs>
        <w:rPr>
          <w:rFonts w:cs="Arial"/>
          <w:bCs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</w:rPr>
        <w:t>OPENS</w:t>
      </w:r>
      <w:r w:rsidRPr="0063008C">
        <w:rPr>
          <w:rFonts w:cs="Arial"/>
          <w:b/>
          <w:bCs/>
          <w:sz w:val="20"/>
          <w:szCs w:val="20"/>
        </w:rPr>
        <w:t xml:space="preserve">:  </w:t>
      </w:r>
      <w:r w:rsidR="00750E50">
        <w:rPr>
          <w:rFonts w:cs="Arial"/>
          <w:bCs/>
          <w:sz w:val="20"/>
          <w:szCs w:val="20"/>
        </w:rPr>
        <w:t>03/20/2023</w:t>
      </w:r>
      <w:r w:rsidRPr="00CF3090">
        <w:rPr>
          <w:rFonts w:cs="Arial"/>
          <w:b/>
          <w:bCs/>
          <w:sz w:val="20"/>
          <w:szCs w:val="20"/>
        </w:rPr>
        <w:tab/>
        <w:t xml:space="preserve">CLOSES:  </w:t>
      </w:r>
      <w:r w:rsidR="00750E50">
        <w:rPr>
          <w:rFonts w:cs="Arial"/>
          <w:bCs/>
          <w:sz w:val="20"/>
          <w:szCs w:val="20"/>
        </w:rPr>
        <w:t>0</w:t>
      </w:r>
      <w:r w:rsidR="004953DF">
        <w:rPr>
          <w:rFonts w:cs="Arial"/>
          <w:bCs/>
          <w:sz w:val="20"/>
          <w:szCs w:val="20"/>
        </w:rPr>
        <w:t>4/1</w:t>
      </w:r>
      <w:bookmarkStart w:id="0" w:name="_GoBack"/>
      <w:bookmarkEnd w:id="0"/>
      <w:r w:rsidR="00750E50">
        <w:rPr>
          <w:rFonts w:cs="Arial"/>
          <w:bCs/>
          <w:sz w:val="20"/>
          <w:szCs w:val="20"/>
        </w:rPr>
        <w:t>0/2023</w:t>
      </w:r>
    </w:p>
    <w:p w:rsidR="00BC006E" w:rsidRPr="00CF3090" w:rsidRDefault="00BC006E" w:rsidP="00BC006E">
      <w:pPr>
        <w:rPr>
          <w:rFonts w:cs="Arial"/>
          <w:b/>
          <w:bCs/>
          <w:sz w:val="20"/>
          <w:szCs w:val="20"/>
        </w:rPr>
      </w:pPr>
    </w:p>
    <w:p w:rsidR="00BC006E" w:rsidRDefault="00BC006E" w:rsidP="00BC006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POSITION LOCATION</w:t>
      </w:r>
      <w:r w:rsidRPr="00CF3090">
        <w:rPr>
          <w:rFonts w:cs="Arial"/>
          <w:b/>
          <w:bCs/>
          <w:sz w:val="20"/>
          <w:szCs w:val="20"/>
        </w:rPr>
        <w:t>:</w:t>
      </w:r>
      <w:r w:rsidRPr="00CF3090">
        <w:rPr>
          <w:rFonts w:cs="Arial"/>
          <w:sz w:val="20"/>
          <w:szCs w:val="20"/>
        </w:rPr>
        <w:t xml:space="preserve">  </w:t>
      </w:r>
      <w:r w:rsidR="0057681C">
        <w:rPr>
          <w:rFonts w:cs="Arial"/>
          <w:sz w:val="20"/>
          <w:szCs w:val="20"/>
        </w:rPr>
        <w:t>Vancouver, WA</w:t>
      </w:r>
      <w:r w:rsidR="006A64DF">
        <w:rPr>
          <w:rFonts w:cs="Arial"/>
          <w:sz w:val="20"/>
          <w:szCs w:val="20"/>
        </w:rPr>
        <w:t xml:space="preserve"> </w:t>
      </w:r>
    </w:p>
    <w:p w:rsidR="000D1602" w:rsidRDefault="000D1602" w:rsidP="00BC006E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D1602" w:rsidRPr="000D1602" w:rsidRDefault="000D1602" w:rsidP="000D1602">
      <w:pPr>
        <w:rPr>
          <w:rFonts w:cs="Arial"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WHO MAY APPLY</w:t>
      </w:r>
      <w:r w:rsidRPr="00CF3090">
        <w:rPr>
          <w:rFonts w:cs="Arial"/>
          <w:b/>
          <w:bCs/>
          <w:sz w:val="20"/>
          <w:szCs w:val="20"/>
        </w:rPr>
        <w:t>:</w:t>
      </w:r>
      <w:r w:rsidRPr="00CF3090">
        <w:rPr>
          <w:rFonts w:cs="Arial"/>
          <w:i/>
          <w:iCs/>
          <w:sz w:val="20"/>
          <w:szCs w:val="20"/>
        </w:rPr>
        <w:t xml:space="preserve">  </w:t>
      </w:r>
    </w:p>
    <w:p w:rsidR="000D1602" w:rsidRPr="000D1602" w:rsidRDefault="000D1602" w:rsidP="000D1602">
      <w:pPr>
        <w:rPr>
          <w:rFonts w:cs="Arial"/>
          <w:sz w:val="20"/>
          <w:szCs w:val="20"/>
        </w:rPr>
      </w:pPr>
      <w:r w:rsidRPr="000D1602">
        <w:rPr>
          <w:rFonts w:cs="Arial"/>
          <w:iCs/>
          <w:sz w:val="20"/>
          <w:szCs w:val="20"/>
        </w:rPr>
        <w:t xml:space="preserve">Any </w:t>
      </w:r>
      <w:r w:rsidRPr="000D1602">
        <w:rPr>
          <w:rFonts w:cs="Arial"/>
          <w:sz w:val="20"/>
          <w:szCs w:val="20"/>
        </w:rPr>
        <w:t>Bonneville Power Administration employee with current competitive career conditional/career status currently at the GS-1</w:t>
      </w:r>
      <w:r>
        <w:rPr>
          <w:rFonts w:cs="Arial"/>
          <w:sz w:val="20"/>
          <w:szCs w:val="20"/>
        </w:rPr>
        <w:t>4</w:t>
      </w:r>
      <w:r w:rsidRPr="000D1602">
        <w:rPr>
          <w:rFonts w:cs="Arial"/>
          <w:sz w:val="20"/>
          <w:szCs w:val="20"/>
        </w:rPr>
        <w:t xml:space="preserve"> and GS-1</w:t>
      </w:r>
      <w:r>
        <w:rPr>
          <w:rFonts w:cs="Arial"/>
          <w:sz w:val="20"/>
          <w:szCs w:val="20"/>
        </w:rPr>
        <w:t>5</w:t>
      </w:r>
      <w:r w:rsidRPr="000D1602">
        <w:rPr>
          <w:rFonts w:cs="Arial"/>
          <w:sz w:val="20"/>
          <w:szCs w:val="20"/>
        </w:rPr>
        <w:t xml:space="preserve"> grade level. This is a non-competitive temporary promotion or detail NTE 120 days. Employees will need to confirm they have their supervisor’s approval when applying for the non-competitive temporary promotion or detail.</w:t>
      </w:r>
    </w:p>
    <w:p w:rsidR="000D1602" w:rsidRPr="000D1602" w:rsidRDefault="000D1602" w:rsidP="000D1602">
      <w:pPr>
        <w:rPr>
          <w:rFonts w:cs="Arial"/>
          <w:sz w:val="20"/>
          <w:szCs w:val="20"/>
        </w:rPr>
      </w:pPr>
    </w:p>
    <w:p w:rsidR="00BC006E" w:rsidRPr="00CF3090" w:rsidRDefault="000D1602" w:rsidP="00BC006E">
      <w:pPr>
        <w:rPr>
          <w:rFonts w:cs="Arial"/>
          <w:sz w:val="20"/>
          <w:szCs w:val="20"/>
        </w:rPr>
      </w:pPr>
      <w:r w:rsidRPr="000D1602">
        <w:rPr>
          <w:rFonts w:cs="Arial"/>
          <w:sz w:val="20"/>
          <w:szCs w:val="20"/>
        </w:rPr>
        <w:t>Employees who have non-competitively served a total of 120 days in a temporary promotion or detail to a higher grade within the preceding 12 months are not eligible for a hig</w:t>
      </w:r>
      <w:r>
        <w:rPr>
          <w:rFonts w:cs="Arial"/>
          <w:sz w:val="20"/>
          <w:szCs w:val="20"/>
        </w:rPr>
        <w:t xml:space="preserve">her-graded opportunity. Contact HR Help </w:t>
      </w:r>
      <w:r w:rsidRPr="000D1602">
        <w:rPr>
          <w:rFonts w:cs="Arial"/>
          <w:sz w:val="20"/>
          <w:szCs w:val="20"/>
        </w:rPr>
        <w:t>at 503</w:t>
      </w:r>
      <w:r>
        <w:rPr>
          <w:rFonts w:cs="Arial"/>
          <w:sz w:val="20"/>
          <w:szCs w:val="20"/>
        </w:rPr>
        <w:t>-230-3230</w:t>
      </w:r>
      <w:r w:rsidRPr="000D1602">
        <w:rPr>
          <w:rFonts w:cs="Arial"/>
          <w:sz w:val="20"/>
          <w:szCs w:val="20"/>
        </w:rPr>
        <w:t xml:space="preserve"> if you have questions regarding your eligibility.</w:t>
      </w:r>
    </w:p>
    <w:p w:rsidR="008A290E" w:rsidRPr="00CF3090" w:rsidRDefault="008A290E" w:rsidP="00BC006E">
      <w:pPr>
        <w:rPr>
          <w:rFonts w:cs="Arial"/>
          <w:sz w:val="20"/>
          <w:szCs w:val="20"/>
        </w:rPr>
      </w:pPr>
    </w:p>
    <w:p w:rsidR="00BC006E" w:rsidRPr="00CF3090" w:rsidRDefault="00BC006E" w:rsidP="00BC006E">
      <w:pPr>
        <w:rPr>
          <w:rFonts w:cs="Arial"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NOTES</w:t>
      </w:r>
      <w:r w:rsidRPr="00CF3090">
        <w:rPr>
          <w:rFonts w:cs="Arial"/>
          <w:b/>
          <w:bCs/>
          <w:sz w:val="20"/>
          <w:szCs w:val="20"/>
        </w:rPr>
        <w:t>:</w:t>
      </w:r>
      <w:r w:rsidRPr="00CF3090">
        <w:rPr>
          <w:rFonts w:cs="Arial"/>
          <w:sz w:val="20"/>
          <w:szCs w:val="20"/>
        </w:rPr>
        <w:t xml:space="preserve">  The successful candidate will be detailed to the position of </w:t>
      </w:r>
      <w:r w:rsidR="00A932D9">
        <w:rPr>
          <w:b/>
          <w:sz w:val="20"/>
          <w:szCs w:val="20"/>
        </w:rPr>
        <w:t>Director of Transmission Cybersecurity Initiatives</w:t>
      </w:r>
      <w:r w:rsidR="00765041">
        <w:rPr>
          <w:b/>
          <w:sz w:val="20"/>
          <w:szCs w:val="20"/>
        </w:rPr>
        <w:t>)</w:t>
      </w:r>
      <w:r w:rsidR="008A290E">
        <w:rPr>
          <w:rFonts w:cs="Arial"/>
          <w:sz w:val="20"/>
          <w:szCs w:val="20"/>
        </w:rPr>
        <w:t xml:space="preserve">. </w:t>
      </w:r>
      <w:r w:rsidRPr="00CF3090">
        <w:rPr>
          <w:rFonts w:cs="Arial"/>
          <w:sz w:val="20"/>
          <w:szCs w:val="20"/>
        </w:rPr>
        <w:t>Selection from this interest announcement is subject to the requirements of applicable employment practices. Any promotion associated with this announcement will be subject to the following:</w:t>
      </w:r>
    </w:p>
    <w:p w:rsidR="000D1602" w:rsidRPr="000D1602" w:rsidRDefault="000D1602" w:rsidP="000D1602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:rsidR="000D1602" w:rsidRPr="000D1602" w:rsidRDefault="000D1602" w:rsidP="000D1602">
      <w:pPr>
        <w:numPr>
          <w:ilvl w:val="0"/>
          <w:numId w:val="7"/>
        </w:numPr>
        <w:tabs>
          <w:tab w:val="left" w:pos="720"/>
        </w:tabs>
        <w:rPr>
          <w:rFonts w:cs="Arial"/>
          <w:iCs/>
          <w:sz w:val="20"/>
          <w:szCs w:val="20"/>
        </w:rPr>
      </w:pPr>
      <w:r w:rsidRPr="000D1602">
        <w:rPr>
          <w:rFonts w:cs="Arial"/>
          <w:sz w:val="20"/>
          <w:szCs w:val="20"/>
        </w:rPr>
        <w:t xml:space="preserve">When an employee </w:t>
      </w:r>
      <w:r w:rsidRPr="000D1602">
        <w:rPr>
          <w:rFonts w:cs="Arial"/>
          <w:sz w:val="20"/>
          <w:szCs w:val="20"/>
          <w:u w:val="single"/>
        </w:rPr>
        <w:t>already holds the same grade or higher</w:t>
      </w:r>
      <w:r w:rsidRPr="000D1602">
        <w:rPr>
          <w:rFonts w:cs="Arial"/>
          <w:sz w:val="20"/>
          <w:szCs w:val="20"/>
        </w:rPr>
        <w:t xml:space="preserve"> as the position of interest on a permanent basis, then the action will be processed as a detail and may be made for a period up to one year, in 120-day increments.  When appropriate, details may be extended for an additional year, in 120-day increments.</w:t>
      </w:r>
    </w:p>
    <w:p w:rsidR="000D1602" w:rsidRPr="000D1602" w:rsidRDefault="000D1602" w:rsidP="000D1602">
      <w:pPr>
        <w:tabs>
          <w:tab w:val="left" w:pos="720"/>
        </w:tabs>
        <w:ind w:left="360"/>
        <w:rPr>
          <w:rFonts w:cs="Arial"/>
          <w:iCs/>
          <w:sz w:val="20"/>
          <w:szCs w:val="20"/>
        </w:rPr>
      </w:pPr>
    </w:p>
    <w:p w:rsidR="000D1602" w:rsidRPr="000D1602" w:rsidRDefault="000D1602" w:rsidP="000D1602">
      <w:pPr>
        <w:numPr>
          <w:ilvl w:val="0"/>
          <w:numId w:val="7"/>
        </w:numPr>
        <w:tabs>
          <w:tab w:val="left" w:pos="720"/>
        </w:tabs>
        <w:rPr>
          <w:rFonts w:cs="Arial"/>
          <w:sz w:val="20"/>
          <w:szCs w:val="20"/>
        </w:rPr>
      </w:pPr>
      <w:r w:rsidRPr="000D1602">
        <w:rPr>
          <w:rFonts w:cs="Arial"/>
          <w:sz w:val="20"/>
          <w:szCs w:val="20"/>
        </w:rPr>
        <w:t xml:space="preserve">When an employee </w:t>
      </w:r>
      <w:r w:rsidRPr="000D1602">
        <w:rPr>
          <w:rFonts w:cs="Arial"/>
          <w:sz w:val="20"/>
          <w:szCs w:val="20"/>
          <w:u w:val="single"/>
        </w:rPr>
        <w:t>holds a lower graded position or is in a position with lower-graded promotion potential</w:t>
      </w:r>
      <w:r w:rsidRPr="000D1602">
        <w:rPr>
          <w:rFonts w:cs="Arial"/>
          <w:sz w:val="20"/>
          <w:szCs w:val="20"/>
        </w:rPr>
        <w:t xml:space="preserve"> than the position of interest, s/he is prohibited from serving in a higher-graded position for more than 120-days in a 52-week period. The action may be processed as a detail or non-competitive temporary promotion at management’s discretion. Employees selected for a non-competitive temporary promotion must meet time in grade, experience, and any minimum education requirements specified under Special Skills &amp; Abilities below. Those who do not meet the time in grade or qualifications requirement(s) may be eligible to accrue experience during a detail. Non-competitive temporary promotions or details to a higher grade may not be extended or made permanent. </w:t>
      </w:r>
    </w:p>
    <w:p w:rsidR="000D1602" w:rsidRPr="000D1602" w:rsidRDefault="000D1602" w:rsidP="000D1602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:rsidR="000D1602" w:rsidRPr="000D1602" w:rsidRDefault="000D1602" w:rsidP="000D1602">
      <w:pPr>
        <w:numPr>
          <w:ilvl w:val="0"/>
          <w:numId w:val="7"/>
        </w:numPr>
        <w:tabs>
          <w:tab w:val="left" w:pos="720"/>
        </w:tabs>
        <w:rPr>
          <w:rFonts w:cs="Arial"/>
          <w:sz w:val="20"/>
          <w:szCs w:val="20"/>
        </w:rPr>
      </w:pPr>
      <w:r w:rsidRPr="000D1602">
        <w:rPr>
          <w:rFonts w:cs="Arial"/>
          <w:sz w:val="20"/>
          <w:szCs w:val="20"/>
        </w:rPr>
        <w:t>The employee will be returned to his/her permanent position of record (i.e., position prior to detail) upon completion of the non-competitive temporary promotion or detail opportunity.</w:t>
      </w:r>
    </w:p>
    <w:p w:rsidR="000D1602" w:rsidRPr="000D1602" w:rsidRDefault="000D1602" w:rsidP="000D1602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:rsidR="000D1602" w:rsidRPr="000D1602" w:rsidRDefault="000D1602" w:rsidP="000D1602">
      <w:pPr>
        <w:numPr>
          <w:ilvl w:val="0"/>
          <w:numId w:val="7"/>
        </w:numPr>
        <w:tabs>
          <w:tab w:val="left" w:pos="720"/>
        </w:tabs>
        <w:rPr>
          <w:rFonts w:cs="Arial"/>
          <w:sz w:val="20"/>
          <w:szCs w:val="20"/>
        </w:rPr>
      </w:pPr>
      <w:r w:rsidRPr="000D1602">
        <w:rPr>
          <w:rFonts w:cs="Arial"/>
          <w:sz w:val="20"/>
          <w:szCs w:val="20"/>
        </w:rPr>
        <w:t>Temporary promotions and details may be terminated at any time based on the needs of management.</w:t>
      </w:r>
    </w:p>
    <w:p w:rsidR="000D1602" w:rsidRPr="000D1602" w:rsidRDefault="000D1602" w:rsidP="000D1602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:rsidR="00A6368D" w:rsidRDefault="00A6368D" w:rsidP="00F05C3A">
      <w:pPr>
        <w:tabs>
          <w:tab w:val="left" w:pos="720"/>
        </w:tabs>
        <w:rPr>
          <w:rFonts w:cs="Arial"/>
          <w:sz w:val="20"/>
          <w:szCs w:val="20"/>
        </w:rPr>
      </w:pPr>
    </w:p>
    <w:p w:rsidR="000D1602" w:rsidRDefault="000D1602" w:rsidP="00F05C3A">
      <w:pPr>
        <w:tabs>
          <w:tab w:val="left" w:pos="720"/>
        </w:tabs>
        <w:rPr>
          <w:rFonts w:cs="Arial"/>
          <w:sz w:val="20"/>
          <w:szCs w:val="20"/>
        </w:rPr>
      </w:pPr>
    </w:p>
    <w:p w:rsidR="00A6368D" w:rsidRDefault="00D06C70" w:rsidP="00F05C3A">
      <w:pPr>
        <w:tabs>
          <w:tab w:val="left" w:pos="720"/>
        </w:tabs>
        <w:rPr>
          <w:sz w:val="20"/>
        </w:rPr>
      </w:pPr>
      <w:r w:rsidRPr="00F05C3A">
        <w:rPr>
          <w:b/>
          <w:sz w:val="20"/>
          <w:u w:val="single"/>
        </w:rPr>
        <w:t>GENERAL INFORMATION</w:t>
      </w:r>
      <w:r w:rsidRPr="00F05C3A">
        <w:rPr>
          <w:b/>
          <w:sz w:val="20"/>
        </w:rPr>
        <w:t>:</w:t>
      </w:r>
      <w:r w:rsidRPr="00F05C3A">
        <w:rPr>
          <w:sz w:val="20"/>
        </w:rPr>
        <w:t xml:space="preserve"> </w:t>
      </w:r>
    </w:p>
    <w:p w:rsidR="00D06C70" w:rsidRPr="00F05C3A" w:rsidRDefault="00D06C70" w:rsidP="00F05C3A">
      <w:pPr>
        <w:tabs>
          <w:tab w:val="left" w:pos="720"/>
        </w:tabs>
        <w:rPr>
          <w:sz w:val="20"/>
          <w:u w:val="single"/>
        </w:rPr>
      </w:pPr>
      <w:r w:rsidRPr="00F05C3A">
        <w:rPr>
          <w:sz w:val="20"/>
        </w:rPr>
        <w:t xml:space="preserve">The incumbent will report to the Director </w:t>
      </w:r>
      <w:r w:rsidR="00765041">
        <w:rPr>
          <w:sz w:val="20"/>
        </w:rPr>
        <w:t>of Transmission Technology Services</w:t>
      </w:r>
      <w:r w:rsidRPr="00F05C3A">
        <w:rPr>
          <w:sz w:val="20"/>
        </w:rPr>
        <w:t>.</w:t>
      </w:r>
    </w:p>
    <w:p w:rsidR="00D06C70" w:rsidRPr="00CF3090" w:rsidRDefault="00D06C70" w:rsidP="00D06C70">
      <w:pPr>
        <w:rPr>
          <w:sz w:val="20"/>
          <w:u w:val="single"/>
        </w:rPr>
      </w:pPr>
    </w:p>
    <w:p w:rsidR="00765041" w:rsidRPr="00311525" w:rsidRDefault="00765041" w:rsidP="00765041">
      <w:pPr>
        <w:rPr>
          <w:sz w:val="20"/>
          <w:szCs w:val="20"/>
        </w:rPr>
      </w:pPr>
      <w:r w:rsidRPr="00311525">
        <w:rPr>
          <w:sz w:val="20"/>
          <w:szCs w:val="20"/>
        </w:rPr>
        <w:t xml:space="preserve">The purpose of the position is to meet </w:t>
      </w:r>
      <w:r>
        <w:rPr>
          <w:sz w:val="20"/>
          <w:szCs w:val="20"/>
        </w:rPr>
        <w:t>Transmission Technology Services’</w:t>
      </w:r>
      <w:r w:rsidRPr="00311525">
        <w:rPr>
          <w:sz w:val="20"/>
          <w:szCs w:val="20"/>
        </w:rPr>
        <w:t xml:space="preserve"> mission and objectives by providing a structured approach </w:t>
      </w:r>
      <w:r w:rsidR="006341A0">
        <w:rPr>
          <w:sz w:val="20"/>
          <w:szCs w:val="20"/>
        </w:rPr>
        <w:t>and delivery of</w:t>
      </w:r>
      <w:r w:rsidRPr="00311525">
        <w:rPr>
          <w:sz w:val="20"/>
          <w:szCs w:val="20"/>
        </w:rPr>
        <w:t xml:space="preserve"> </w:t>
      </w:r>
      <w:r>
        <w:rPr>
          <w:sz w:val="20"/>
          <w:szCs w:val="20"/>
        </w:rPr>
        <w:t>Transmission’s Cybe</w:t>
      </w:r>
      <w:r w:rsidR="006341A0">
        <w:rPr>
          <w:sz w:val="20"/>
          <w:szCs w:val="20"/>
        </w:rPr>
        <w:t>rsecurity</w:t>
      </w:r>
      <w:r>
        <w:rPr>
          <w:sz w:val="20"/>
          <w:szCs w:val="20"/>
        </w:rPr>
        <w:t xml:space="preserve"> Modernization, Cybe</w:t>
      </w:r>
      <w:r w:rsidR="006341A0">
        <w:rPr>
          <w:sz w:val="20"/>
          <w:szCs w:val="20"/>
        </w:rPr>
        <w:t>rsecurity</w:t>
      </w:r>
      <w:r w:rsidR="005211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Remediation, and FISMA and NERC CIP initiatives. </w:t>
      </w:r>
      <w:r w:rsidRPr="00311525">
        <w:rPr>
          <w:sz w:val="20"/>
          <w:szCs w:val="20"/>
        </w:rPr>
        <w:t xml:space="preserve">Responsible for </w:t>
      </w:r>
      <w:r>
        <w:rPr>
          <w:sz w:val="20"/>
          <w:szCs w:val="20"/>
        </w:rPr>
        <w:t xml:space="preserve">organizing and identifying emerging opportunities, obligations, and workload impacts, coordinating </w:t>
      </w:r>
      <w:r w:rsidR="006341A0">
        <w:rPr>
          <w:sz w:val="20"/>
          <w:szCs w:val="20"/>
        </w:rPr>
        <w:t xml:space="preserve">Transmission wide </w:t>
      </w:r>
      <w:r>
        <w:rPr>
          <w:sz w:val="20"/>
          <w:szCs w:val="20"/>
        </w:rPr>
        <w:t>cross-organizational efforts, tracking progress through metrics, and reporting results.  Leads cross-functional Cyber</w:t>
      </w:r>
      <w:r w:rsidR="006341A0">
        <w:rPr>
          <w:sz w:val="20"/>
          <w:szCs w:val="20"/>
        </w:rPr>
        <w:t xml:space="preserve">security </w:t>
      </w:r>
      <w:r>
        <w:rPr>
          <w:sz w:val="20"/>
          <w:szCs w:val="20"/>
        </w:rPr>
        <w:t xml:space="preserve">Improvement </w:t>
      </w:r>
      <w:r w:rsidR="009E4FB8">
        <w:rPr>
          <w:sz w:val="20"/>
          <w:szCs w:val="20"/>
        </w:rPr>
        <w:t xml:space="preserve">for </w:t>
      </w:r>
      <w:r>
        <w:rPr>
          <w:sz w:val="20"/>
          <w:szCs w:val="20"/>
        </w:rPr>
        <w:t>Transmission (CSI</w:t>
      </w:r>
      <w:proofErr w:type="gramStart"/>
      <w:r>
        <w:rPr>
          <w:sz w:val="20"/>
          <w:szCs w:val="20"/>
        </w:rPr>
        <w:t>:T</w:t>
      </w:r>
      <w:proofErr w:type="gramEnd"/>
      <w:r>
        <w:rPr>
          <w:sz w:val="20"/>
          <w:szCs w:val="20"/>
        </w:rPr>
        <w:t>)</w:t>
      </w:r>
      <w:r w:rsidR="009E4FB8">
        <w:rPr>
          <w:sz w:val="20"/>
          <w:szCs w:val="20"/>
        </w:rPr>
        <w:t xml:space="preserve"> from</w:t>
      </w:r>
      <w:r>
        <w:rPr>
          <w:sz w:val="20"/>
          <w:szCs w:val="20"/>
        </w:rPr>
        <w:t xml:space="preserve"> </w:t>
      </w:r>
      <w:r w:rsidR="003510C4">
        <w:rPr>
          <w:sz w:val="20"/>
          <w:szCs w:val="20"/>
        </w:rPr>
        <w:t xml:space="preserve">program </w:t>
      </w:r>
      <w:r>
        <w:rPr>
          <w:sz w:val="20"/>
          <w:szCs w:val="20"/>
        </w:rPr>
        <w:t xml:space="preserve">planning </w:t>
      </w:r>
      <w:r w:rsidR="009E4FB8">
        <w:rPr>
          <w:sz w:val="20"/>
          <w:szCs w:val="20"/>
        </w:rPr>
        <w:t xml:space="preserve">through </w:t>
      </w:r>
      <w:r>
        <w:rPr>
          <w:sz w:val="20"/>
          <w:szCs w:val="20"/>
        </w:rPr>
        <w:t>execution.</w:t>
      </w:r>
    </w:p>
    <w:p w:rsidR="00D06C70" w:rsidRPr="00CF3090" w:rsidRDefault="00D06C70" w:rsidP="00D06C70">
      <w:pPr>
        <w:rPr>
          <w:snapToGrid w:val="0"/>
          <w:sz w:val="20"/>
        </w:rPr>
      </w:pPr>
    </w:p>
    <w:p w:rsidR="00D06C70" w:rsidRPr="00CF3090" w:rsidRDefault="00D06C70" w:rsidP="00D06C70">
      <w:pPr>
        <w:rPr>
          <w:b/>
          <w:snapToGrid w:val="0"/>
          <w:sz w:val="20"/>
        </w:rPr>
      </w:pPr>
      <w:r w:rsidRPr="00CF3090">
        <w:rPr>
          <w:b/>
          <w:snapToGrid w:val="0"/>
          <w:sz w:val="20"/>
          <w:u w:val="single"/>
        </w:rPr>
        <w:t>MAJOR DUTIES</w:t>
      </w:r>
      <w:r w:rsidRPr="00CF3090">
        <w:rPr>
          <w:b/>
          <w:snapToGrid w:val="0"/>
          <w:sz w:val="20"/>
        </w:rPr>
        <w:t>:</w:t>
      </w:r>
    </w:p>
    <w:p w:rsidR="00D06C70" w:rsidRPr="00D06C70" w:rsidRDefault="00D06C70" w:rsidP="00D06C70">
      <w:pPr>
        <w:rPr>
          <w:rFonts w:cs="Arial"/>
          <w:sz w:val="20"/>
          <w:szCs w:val="20"/>
        </w:rPr>
      </w:pPr>
      <w:r w:rsidRPr="00D06C70">
        <w:rPr>
          <w:rFonts w:cs="Arial"/>
          <w:sz w:val="20"/>
          <w:szCs w:val="20"/>
        </w:rPr>
        <w:t xml:space="preserve">Serves as a Program Manager and technical expert responsible for directly managing programs and projects in support of </w:t>
      </w:r>
      <w:r w:rsidR="006341A0">
        <w:rPr>
          <w:rFonts w:cs="Arial"/>
          <w:sz w:val="20"/>
          <w:szCs w:val="20"/>
        </w:rPr>
        <w:t>Transmission Cybersecurity Improvement Initiatives</w:t>
      </w:r>
      <w:r w:rsidRPr="00D06C70">
        <w:rPr>
          <w:rFonts w:cs="Arial"/>
          <w:sz w:val="20"/>
          <w:szCs w:val="20"/>
        </w:rPr>
        <w:t xml:space="preserve">, including: </w:t>
      </w:r>
    </w:p>
    <w:p w:rsidR="00765041" w:rsidRDefault="00765041" w:rsidP="00A91BC0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Serves as senior advisor for the Transmission Technology Services group’s leadership in improving Transmission </w:t>
      </w:r>
      <w:r w:rsidR="006341A0">
        <w:rPr>
          <w:sz w:val="20"/>
          <w:szCs w:val="20"/>
        </w:rPr>
        <w:t xml:space="preserve">operational </w:t>
      </w:r>
      <w:r w:rsidR="0052118A">
        <w:rPr>
          <w:sz w:val="20"/>
          <w:szCs w:val="20"/>
        </w:rPr>
        <w:t>c</w:t>
      </w:r>
      <w:r>
        <w:rPr>
          <w:sz w:val="20"/>
          <w:szCs w:val="20"/>
        </w:rPr>
        <w:t>ybe</w:t>
      </w:r>
      <w:r w:rsidR="006341A0">
        <w:rPr>
          <w:sz w:val="20"/>
          <w:szCs w:val="20"/>
        </w:rPr>
        <w:t>rsecurity</w:t>
      </w:r>
      <w:r>
        <w:rPr>
          <w:sz w:val="20"/>
          <w:szCs w:val="20"/>
        </w:rPr>
        <w:t>, this role reports to the TT Director and keeps the Director up-to-date on the progress of the various CSI</w:t>
      </w:r>
      <w:proofErr w:type="gramStart"/>
      <w:r>
        <w:rPr>
          <w:sz w:val="20"/>
          <w:szCs w:val="20"/>
        </w:rPr>
        <w:t>:T</w:t>
      </w:r>
      <w:proofErr w:type="gramEnd"/>
      <w:r>
        <w:rPr>
          <w:sz w:val="20"/>
          <w:szCs w:val="20"/>
        </w:rPr>
        <w:t xml:space="preserve"> efforts, providing additional detail and coordinating and driving changes </w:t>
      </w:r>
      <w:r w:rsidR="009E4FB8">
        <w:rPr>
          <w:sz w:val="20"/>
          <w:szCs w:val="20"/>
        </w:rPr>
        <w:t>across Transmission operational technology landscape</w:t>
      </w:r>
      <w:r>
        <w:rPr>
          <w:sz w:val="20"/>
          <w:szCs w:val="20"/>
        </w:rPr>
        <w:t>.</w:t>
      </w:r>
      <w:r w:rsidRPr="00666E14">
        <w:t xml:space="preserve"> </w:t>
      </w:r>
      <w:r w:rsidRPr="00666E14">
        <w:rPr>
          <w:sz w:val="20"/>
          <w:szCs w:val="20"/>
        </w:rPr>
        <w:t>The scope of this role is broad, cross functional and engages all levels of the organization</w:t>
      </w:r>
      <w:r>
        <w:rPr>
          <w:sz w:val="20"/>
          <w:szCs w:val="20"/>
        </w:rPr>
        <w:t xml:space="preserve"> and is the sole technical authority in the execution of the Transmission Cyber</w:t>
      </w:r>
      <w:r w:rsidR="006341A0">
        <w:rPr>
          <w:sz w:val="20"/>
          <w:szCs w:val="20"/>
        </w:rPr>
        <w:t>s</w:t>
      </w:r>
      <w:r>
        <w:rPr>
          <w:sz w:val="20"/>
          <w:szCs w:val="20"/>
        </w:rPr>
        <w:t>ecurity Improvement Program</w:t>
      </w:r>
      <w:r w:rsidRPr="00666E14">
        <w:rPr>
          <w:sz w:val="20"/>
          <w:szCs w:val="20"/>
        </w:rPr>
        <w:t>.  The incumbent is required to oversee staff, though may not be dir</w:t>
      </w:r>
      <w:r>
        <w:rPr>
          <w:sz w:val="20"/>
          <w:szCs w:val="20"/>
        </w:rPr>
        <w:t>ect reports, in the planning,</w:t>
      </w:r>
      <w:r w:rsidRPr="00666E14">
        <w:rPr>
          <w:sz w:val="20"/>
          <w:szCs w:val="20"/>
        </w:rPr>
        <w:t xml:space="preserve"> prioritization</w:t>
      </w:r>
      <w:r>
        <w:rPr>
          <w:sz w:val="20"/>
          <w:szCs w:val="20"/>
        </w:rPr>
        <w:t xml:space="preserve"> and execution</w:t>
      </w:r>
      <w:r w:rsidRPr="00666E14">
        <w:rPr>
          <w:sz w:val="20"/>
          <w:szCs w:val="20"/>
        </w:rPr>
        <w:t xml:space="preserve"> of the </w:t>
      </w:r>
      <w:r>
        <w:rPr>
          <w:sz w:val="20"/>
          <w:szCs w:val="20"/>
        </w:rPr>
        <w:t>program</w:t>
      </w:r>
      <w:r w:rsidRPr="00666E14">
        <w:rPr>
          <w:sz w:val="20"/>
          <w:szCs w:val="20"/>
        </w:rPr>
        <w:t xml:space="preserve"> requirements in consideration of impacts, </w:t>
      </w:r>
      <w:r>
        <w:rPr>
          <w:sz w:val="20"/>
          <w:szCs w:val="20"/>
        </w:rPr>
        <w:t xml:space="preserve">schedule, </w:t>
      </w:r>
      <w:r w:rsidRPr="00666E14">
        <w:rPr>
          <w:sz w:val="20"/>
          <w:szCs w:val="20"/>
        </w:rPr>
        <w:t>risk, budget and technology.</w:t>
      </w:r>
      <w:r>
        <w:rPr>
          <w:sz w:val="20"/>
          <w:szCs w:val="20"/>
        </w:rPr>
        <w:t xml:space="preserve">  </w:t>
      </w:r>
    </w:p>
    <w:p w:rsidR="00765041" w:rsidRDefault="00765041" w:rsidP="00A91BC0">
      <w:pPr>
        <w:numPr>
          <w:ilvl w:val="0"/>
          <w:numId w:val="13"/>
        </w:numPr>
        <w:rPr>
          <w:sz w:val="20"/>
          <w:szCs w:val="20"/>
        </w:rPr>
      </w:pPr>
      <w:r w:rsidRPr="001D570E">
        <w:rPr>
          <w:sz w:val="20"/>
          <w:szCs w:val="20"/>
        </w:rPr>
        <w:t>This position will be required to quickly understand the depth and breadth of Transmission organizational functions across the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program areas, all processes and systems, and the interdependencies across the Agency to identify stakeholder, system and organizational impact ensuring optimal program success.  </w:t>
      </w:r>
    </w:p>
    <w:p w:rsidR="00765041" w:rsidRDefault="00765041" w:rsidP="00A91BC0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This position is responsible for determining the needs for Transmission operational technology cybersecurity and developing policy, processes, and guidelines.</w:t>
      </w:r>
    </w:p>
    <w:p w:rsidR="00765041" w:rsidRPr="001D570E" w:rsidRDefault="00765041" w:rsidP="00A91BC0">
      <w:pPr>
        <w:numPr>
          <w:ilvl w:val="0"/>
          <w:numId w:val="13"/>
        </w:numPr>
        <w:rPr>
          <w:sz w:val="20"/>
          <w:szCs w:val="20"/>
        </w:rPr>
      </w:pPr>
      <w:r w:rsidRPr="001D570E">
        <w:rPr>
          <w:sz w:val="20"/>
          <w:szCs w:val="20"/>
        </w:rPr>
        <w:t>Identifies new opportunities to improve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through partnership with DOE, other PMAs, </w:t>
      </w:r>
      <w:r>
        <w:rPr>
          <w:sz w:val="20"/>
          <w:szCs w:val="20"/>
        </w:rPr>
        <w:t xml:space="preserve">the Office of Cyber Security and </w:t>
      </w:r>
      <w:r w:rsidRPr="001D570E">
        <w:rPr>
          <w:sz w:val="20"/>
          <w:szCs w:val="20"/>
        </w:rPr>
        <w:t>benchmarking with other utilities, industry collaboration, and coordina</w:t>
      </w:r>
      <w:r>
        <w:rPr>
          <w:sz w:val="20"/>
          <w:szCs w:val="20"/>
        </w:rPr>
        <w:t>tes professional services engagements</w:t>
      </w:r>
      <w:r w:rsidRPr="001D570E">
        <w:rPr>
          <w:sz w:val="20"/>
          <w:szCs w:val="20"/>
        </w:rPr>
        <w:t>.  Matches new technologies and partnership options with challenges in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and ties this information into appropriate organizations.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Leads, </w:t>
      </w:r>
      <w:r w:rsidR="006341A0">
        <w:rPr>
          <w:sz w:val="20"/>
          <w:szCs w:val="20"/>
        </w:rPr>
        <w:t>d</w:t>
      </w:r>
      <w:r>
        <w:rPr>
          <w:sz w:val="20"/>
          <w:szCs w:val="20"/>
        </w:rPr>
        <w:t xml:space="preserve">irects, and </w:t>
      </w:r>
      <w:r w:rsidR="006341A0">
        <w:rPr>
          <w:sz w:val="20"/>
          <w:szCs w:val="20"/>
        </w:rPr>
        <w:t>c</w:t>
      </w:r>
      <w:r>
        <w:rPr>
          <w:sz w:val="20"/>
          <w:szCs w:val="20"/>
        </w:rPr>
        <w:t>oordinates obligations of CSI</w:t>
      </w:r>
      <w:proofErr w:type="gramStart"/>
      <w:r>
        <w:rPr>
          <w:sz w:val="20"/>
          <w:szCs w:val="20"/>
        </w:rPr>
        <w:t>:T</w:t>
      </w:r>
      <w:proofErr w:type="gramEnd"/>
      <w:r>
        <w:rPr>
          <w:sz w:val="20"/>
          <w:szCs w:val="20"/>
        </w:rPr>
        <w:t xml:space="preserve"> program from various wellsprings including federal (DHS, DOE), regulatory (NERC/WECC, FISMA), internal BPA cyber security assessments, and technological migration and capital improvements.  Stacks and tracks these obligations against existing resources and maintains visibility of CSI</w:t>
      </w:r>
      <w:r w:rsidR="008A290E">
        <w:rPr>
          <w:sz w:val="20"/>
          <w:szCs w:val="20"/>
        </w:rPr>
        <w:t>: T</w:t>
      </w:r>
      <w:r>
        <w:rPr>
          <w:sz w:val="20"/>
          <w:szCs w:val="20"/>
        </w:rPr>
        <w:t xml:space="preserve"> efforts so that work is not duplicated by separate, uncoordinated organizations.  Ensures no “white space” so that obligations are mapped to responsible organizations and fully addressed.  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1D570E">
        <w:rPr>
          <w:sz w:val="20"/>
          <w:szCs w:val="20"/>
        </w:rPr>
        <w:t>Identifies and monitors workload requirements of emerging and existing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projects to maintain awareness of capacity challenges and </w:t>
      </w:r>
      <w:r>
        <w:rPr>
          <w:sz w:val="20"/>
          <w:szCs w:val="20"/>
        </w:rPr>
        <w:t>opportunities.  Works with TT Director</w:t>
      </w:r>
      <w:r w:rsidRPr="001D570E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Transmission </w:t>
      </w:r>
      <w:r w:rsidRPr="001D570E">
        <w:rPr>
          <w:sz w:val="20"/>
          <w:szCs w:val="20"/>
        </w:rPr>
        <w:t>management team</w:t>
      </w:r>
      <w:r>
        <w:rPr>
          <w:sz w:val="20"/>
          <w:szCs w:val="20"/>
        </w:rPr>
        <w:t>s</w:t>
      </w:r>
      <w:r w:rsidRPr="001D570E">
        <w:rPr>
          <w:sz w:val="20"/>
          <w:szCs w:val="20"/>
        </w:rPr>
        <w:t xml:space="preserve"> to ensure adequate and effective resourcing of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program.  Advocates and provides relevant supporting data when further resources are identified and required.  </w:t>
      </w:r>
    </w:p>
    <w:p w:rsidR="00765041" w:rsidRPr="001D570E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1D570E">
        <w:rPr>
          <w:sz w:val="20"/>
          <w:szCs w:val="20"/>
        </w:rPr>
        <w:t>Recognizes and includes stakeholders in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efforts by identifying, informing, consulting and problem-solving internal workgroups.  Meets regularly with core teams, including chairing the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management steering team</w:t>
      </w:r>
      <w:r>
        <w:rPr>
          <w:sz w:val="20"/>
          <w:szCs w:val="20"/>
        </w:rPr>
        <w:t xml:space="preserve"> and reporting progress to BPA Front Office Executive Leadership</w:t>
      </w:r>
      <w:r w:rsidRPr="001D570E">
        <w:rPr>
          <w:sz w:val="20"/>
          <w:szCs w:val="20"/>
        </w:rPr>
        <w:t>.  Escalates conflicts for resolution and brings an organizationally agnostic approach to overcoming challenges and delivering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solutions on scope, schedule and budget.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Establishes effective metrics to ensure CSI</w:t>
      </w:r>
      <w:proofErr w:type="gramStart"/>
      <w:r>
        <w:rPr>
          <w:sz w:val="20"/>
          <w:szCs w:val="20"/>
        </w:rPr>
        <w:t>:T</w:t>
      </w:r>
      <w:proofErr w:type="gramEnd"/>
      <w:r>
        <w:rPr>
          <w:sz w:val="20"/>
          <w:szCs w:val="20"/>
        </w:rPr>
        <w:t xml:space="preserve"> projects are progressing and delivering as intended.  Assesses adequacy of existing metrics and adds emerging measures when needed.  Retains records to illustrate trends.  Coordinates agency targets in CSI</w:t>
      </w:r>
      <w:proofErr w:type="gramStart"/>
      <w:r>
        <w:rPr>
          <w:sz w:val="20"/>
          <w:szCs w:val="20"/>
        </w:rPr>
        <w:t>:T</w:t>
      </w:r>
      <w:proofErr w:type="gramEnd"/>
      <w:r>
        <w:rPr>
          <w:sz w:val="20"/>
          <w:szCs w:val="20"/>
        </w:rPr>
        <w:t xml:space="preserve"> space including draft Balanced Scorecard language.  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1D570E">
        <w:rPr>
          <w:sz w:val="20"/>
          <w:szCs w:val="20"/>
        </w:rPr>
        <w:t>Reports regularly on results of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to BPA’s executive leadership.  Identifies concerns and leadership direction, adapting the CSI</w:t>
      </w:r>
      <w:proofErr w:type="gramStart"/>
      <w:r w:rsidRPr="001D570E">
        <w:rPr>
          <w:sz w:val="20"/>
          <w:szCs w:val="20"/>
        </w:rPr>
        <w:t>:T</w:t>
      </w:r>
      <w:proofErr w:type="gramEnd"/>
      <w:r w:rsidRPr="001D570E">
        <w:rPr>
          <w:sz w:val="20"/>
          <w:szCs w:val="20"/>
        </w:rPr>
        <w:t xml:space="preserve"> program as needed.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A91BC0">
        <w:rPr>
          <w:sz w:val="20"/>
          <w:szCs w:val="20"/>
        </w:rPr>
        <w:t>Oversee, direct and organize the program work within the context of cross functional project teams supporting requirements and initiatives from Transmission, Finance, Environment, IT, et.al.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A91BC0">
        <w:rPr>
          <w:sz w:val="20"/>
          <w:szCs w:val="20"/>
        </w:rPr>
        <w:lastRenderedPageBreak/>
        <w:t>Promote a culture of high performance and continuous improvement and innovation that values collaboration and commitment to quality.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A91BC0">
        <w:rPr>
          <w:sz w:val="20"/>
          <w:szCs w:val="20"/>
        </w:rPr>
        <w:t>Ensure project team members, though may not be direct reports, receive timely and appropriate feedback and support in coordination with staff line managers.</w:t>
      </w:r>
    </w:p>
    <w:p w:rsidR="00765041" w:rsidRDefault="00765041" w:rsidP="00A91BC0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A91BC0">
        <w:rPr>
          <w:sz w:val="20"/>
          <w:szCs w:val="20"/>
        </w:rPr>
        <w:t>Mentor and develop staff and team members using a supportive and collaborative approach involved in the Cyber</w:t>
      </w:r>
      <w:r w:rsidR="006341A0">
        <w:rPr>
          <w:sz w:val="20"/>
          <w:szCs w:val="20"/>
        </w:rPr>
        <w:t>s</w:t>
      </w:r>
      <w:r w:rsidRPr="00A91BC0">
        <w:rPr>
          <w:sz w:val="20"/>
          <w:szCs w:val="20"/>
        </w:rPr>
        <w:t>ecurity Improvement in Transmission program.</w:t>
      </w:r>
    </w:p>
    <w:p w:rsidR="00F82E0F" w:rsidRDefault="00F82E0F" w:rsidP="00A91BC0">
      <w:pPr>
        <w:tabs>
          <w:tab w:val="left" w:pos="720"/>
        </w:tabs>
        <w:rPr>
          <w:b/>
          <w:sz w:val="20"/>
          <w:u w:val="single"/>
        </w:rPr>
      </w:pPr>
    </w:p>
    <w:p w:rsidR="00F82E0F" w:rsidRPr="00A91BC0" w:rsidRDefault="00F82E0F" w:rsidP="00A91BC0">
      <w:pPr>
        <w:tabs>
          <w:tab w:val="left" w:pos="720"/>
        </w:tabs>
        <w:rPr>
          <w:rFonts w:cs="Arial"/>
          <w:sz w:val="20"/>
          <w:szCs w:val="20"/>
        </w:rPr>
      </w:pPr>
      <w:r w:rsidRPr="00A91BC0">
        <w:rPr>
          <w:b/>
          <w:sz w:val="20"/>
          <w:u w:val="single"/>
        </w:rPr>
        <w:t>SPECIALIZED EXPERIENCE STATEMENT:</w:t>
      </w:r>
    </w:p>
    <w:p w:rsidR="008A290E" w:rsidRDefault="00F82E0F" w:rsidP="00CE649E">
      <w:pPr>
        <w:tabs>
          <w:tab w:val="left" w:pos="720"/>
        </w:tabs>
        <w:rPr>
          <w:b/>
          <w:sz w:val="20"/>
          <w:szCs w:val="20"/>
          <w:u w:val="single"/>
        </w:rPr>
      </w:pPr>
      <w:r w:rsidRPr="00A91BC0">
        <w:rPr>
          <w:rFonts w:cs="Arial"/>
          <w:sz w:val="20"/>
          <w:szCs w:val="20"/>
        </w:rPr>
        <w:t xml:space="preserve">This position requires specialized experience in </w:t>
      </w:r>
      <w:r w:rsidRPr="00A932D9">
        <w:rPr>
          <w:rFonts w:cs="Arial"/>
          <w:b/>
          <w:sz w:val="20"/>
          <w:szCs w:val="20"/>
        </w:rPr>
        <w:t>leading and/or managing</w:t>
      </w:r>
      <w:r w:rsidRPr="00A91BC0">
        <w:rPr>
          <w:rFonts w:cs="Arial"/>
          <w:sz w:val="20"/>
          <w:szCs w:val="20"/>
        </w:rPr>
        <w:t xml:space="preserve"> </w:t>
      </w:r>
      <w:r w:rsidR="00A932D9">
        <w:rPr>
          <w:rFonts w:cs="Arial"/>
          <w:sz w:val="20"/>
          <w:szCs w:val="20"/>
        </w:rPr>
        <w:t xml:space="preserve">cross organizational change, </w:t>
      </w:r>
      <w:r w:rsidRPr="00A91BC0">
        <w:rPr>
          <w:rFonts w:cs="Arial"/>
          <w:sz w:val="20"/>
          <w:szCs w:val="20"/>
        </w:rPr>
        <w:t>operational cybersecurity programs, capabilities, or operations or related program and project management expertise</w:t>
      </w:r>
      <w:r w:rsidR="006B01A2" w:rsidRPr="00A91BC0">
        <w:rPr>
          <w:rFonts w:cs="Arial"/>
          <w:sz w:val="20"/>
          <w:szCs w:val="20"/>
        </w:rPr>
        <w:t>;</w:t>
      </w:r>
      <w:r w:rsidRPr="00A91BC0">
        <w:rPr>
          <w:rFonts w:cs="Arial"/>
          <w:sz w:val="20"/>
          <w:szCs w:val="20"/>
        </w:rPr>
        <w:t xml:space="preserve">   Technical knowledge and skills in planning, engineering, operations and maintenance of Transmission operational technology or equivalent.</w:t>
      </w:r>
    </w:p>
    <w:p w:rsidR="008A290E" w:rsidRDefault="008A290E" w:rsidP="00A91BC0">
      <w:pPr>
        <w:rPr>
          <w:b/>
          <w:sz w:val="20"/>
          <w:szCs w:val="20"/>
          <w:u w:val="single"/>
        </w:rPr>
      </w:pPr>
    </w:p>
    <w:p w:rsidR="008A290E" w:rsidRPr="00A91BC0" w:rsidRDefault="008A290E" w:rsidP="00A91BC0">
      <w:pPr>
        <w:rPr>
          <w:b/>
          <w:sz w:val="20"/>
          <w:szCs w:val="20"/>
          <w:u w:val="single"/>
        </w:rPr>
      </w:pPr>
    </w:p>
    <w:p w:rsidR="008A290E" w:rsidRPr="00CF3090" w:rsidRDefault="00BC006E" w:rsidP="00BC006E">
      <w:pPr>
        <w:rPr>
          <w:rFonts w:cs="Arial"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HOW TO APPLY</w:t>
      </w:r>
      <w:r w:rsidRPr="00CF3090">
        <w:rPr>
          <w:rFonts w:cs="Arial"/>
          <w:b/>
          <w:bCs/>
          <w:sz w:val="20"/>
          <w:szCs w:val="20"/>
        </w:rPr>
        <w:t>:</w:t>
      </w:r>
      <w:r w:rsidR="008A290E">
        <w:rPr>
          <w:rFonts w:cs="Arial"/>
          <w:sz w:val="20"/>
          <w:szCs w:val="20"/>
        </w:rPr>
        <w:t xml:space="preserve"> </w:t>
      </w:r>
    </w:p>
    <w:p w:rsidR="00F05C3A" w:rsidRDefault="00BC006E" w:rsidP="00F05C3A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 xml:space="preserve">Complete a brief memo of interest describing your interest in this detail </w:t>
      </w:r>
      <w:r w:rsidR="006341A0">
        <w:rPr>
          <w:rFonts w:cs="Arial"/>
          <w:sz w:val="20"/>
          <w:szCs w:val="20"/>
        </w:rPr>
        <w:t>or</w:t>
      </w:r>
      <w:r w:rsidRPr="00CF3090">
        <w:rPr>
          <w:rFonts w:cs="Arial"/>
          <w:sz w:val="20"/>
          <w:szCs w:val="20"/>
        </w:rPr>
        <w:t xml:space="preserve"> temporary promotion assignment and your relevant experience.  Submit your memo and a signed Supervisory Acknowledgement statement (below) by close of business on</w:t>
      </w:r>
      <w:r w:rsidR="00BC0FCE">
        <w:rPr>
          <w:rFonts w:cs="Arial"/>
          <w:sz w:val="20"/>
          <w:szCs w:val="20"/>
        </w:rPr>
        <w:t xml:space="preserve"> </w:t>
      </w:r>
      <w:r w:rsidR="00A932D9">
        <w:rPr>
          <w:rFonts w:cs="Arial"/>
          <w:sz w:val="20"/>
          <w:szCs w:val="20"/>
        </w:rPr>
        <w:t>3/</w:t>
      </w:r>
      <w:r w:rsidR="00CE649E">
        <w:rPr>
          <w:rFonts w:cs="Arial"/>
          <w:sz w:val="20"/>
          <w:szCs w:val="20"/>
        </w:rPr>
        <w:t>XX</w:t>
      </w:r>
      <w:r w:rsidR="00A932D9">
        <w:rPr>
          <w:rFonts w:cs="Arial"/>
          <w:sz w:val="20"/>
          <w:szCs w:val="20"/>
        </w:rPr>
        <w:t>/23</w:t>
      </w:r>
      <w:r w:rsidR="003F20CA" w:rsidRPr="0063008C">
        <w:t xml:space="preserve"> </w:t>
      </w:r>
      <w:r w:rsidR="006341A0" w:rsidRPr="00A91BC0">
        <w:t>kahunter@bpa.gov</w:t>
      </w:r>
      <w:r w:rsidRPr="00A91BC0">
        <w:rPr>
          <w:rFonts w:cs="Arial"/>
          <w:sz w:val="20"/>
          <w:szCs w:val="20"/>
        </w:rPr>
        <w:t>.</w:t>
      </w:r>
      <w:r w:rsidR="00FE77FE">
        <w:rPr>
          <w:rFonts w:cs="Arial"/>
          <w:sz w:val="20"/>
          <w:szCs w:val="20"/>
        </w:rPr>
        <w:t xml:space="preserve"> Do NOT submit a resume.</w:t>
      </w:r>
    </w:p>
    <w:p w:rsidR="00F05C3A" w:rsidRDefault="00F05C3A" w:rsidP="00F05C3A">
      <w:pPr>
        <w:rPr>
          <w:rFonts w:cs="Arial"/>
          <w:sz w:val="20"/>
          <w:szCs w:val="20"/>
        </w:rPr>
      </w:pPr>
    </w:p>
    <w:p w:rsidR="00BC006E" w:rsidRPr="00CF3090" w:rsidRDefault="00BC006E" w:rsidP="00F05C3A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>SUPERVISOR’S ACKNOWLEDGEMENT</w:t>
      </w:r>
    </w:p>
    <w:p w:rsidR="00BC006E" w:rsidRPr="00CF3090" w:rsidRDefault="00BC006E" w:rsidP="00BC006E">
      <w:pPr>
        <w:rPr>
          <w:rFonts w:cs="Arial"/>
          <w:b/>
          <w:bCs/>
          <w:sz w:val="20"/>
          <w:szCs w:val="20"/>
        </w:rPr>
      </w:pPr>
    </w:p>
    <w:p w:rsidR="00BC006E" w:rsidRPr="00CF3090" w:rsidRDefault="00BC006E" w:rsidP="00BC006E">
      <w:pPr>
        <w:rPr>
          <w:rFonts w:cs="Arial"/>
          <w:b/>
          <w:bCs/>
          <w:i/>
          <w:iCs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</w:rPr>
        <w:t>INTEREST ANNOUNCEMENT</w:t>
      </w:r>
      <w:r w:rsidRPr="00CF3090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CE649E" w:rsidRPr="00CE649E">
        <w:rPr>
          <w:rFonts w:cs="Arial"/>
          <w:b/>
          <w:bCs/>
          <w:sz w:val="20"/>
          <w:szCs w:val="20"/>
        </w:rPr>
        <w:t>FY23-TT-001- IT Project Manager (Director of Transmission Cybersecurity Initiatives) - GS-2210-14- Temporary Promotion-Detail</w:t>
      </w:r>
    </w:p>
    <w:p w:rsidR="00BC006E" w:rsidRPr="00CF3090" w:rsidRDefault="00BC006E" w:rsidP="00BC006E">
      <w:pPr>
        <w:rPr>
          <w:rFonts w:cs="Arial"/>
          <w:sz w:val="20"/>
          <w:szCs w:val="20"/>
        </w:rPr>
      </w:pPr>
    </w:p>
    <w:p w:rsidR="00BC006E" w:rsidRPr="00CF3090" w:rsidRDefault="00BC006E" w:rsidP="00BC006E">
      <w:pPr>
        <w:rPr>
          <w:rFonts w:cs="Arial"/>
          <w:sz w:val="20"/>
          <w:szCs w:val="20"/>
        </w:rPr>
      </w:pPr>
    </w:p>
    <w:p w:rsidR="00BC006E" w:rsidRPr="00CF3090" w:rsidRDefault="00BC006E" w:rsidP="00BC006E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>I acknowledge that _____________________________________ has requested consideration for this position.  I understand this temporary assignment is a detail</w:t>
      </w:r>
      <w:r w:rsidR="00A91BC0">
        <w:rPr>
          <w:rFonts w:cs="Arial"/>
          <w:sz w:val="20"/>
          <w:szCs w:val="20"/>
        </w:rPr>
        <w:t xml:space="preserve"> and will be up to </w:t>
      </w:r>
      <w:r w:rsidR="00405595">
        <w:rPr>
          <w:rFonts w:cs="Arial"/>
          <w:sz w:val="20"/>
          <w:szCs w:val="20"/>
        </w:rPr>
        <w:t>1</w:t>
      </w:r>
      <w:r w:rsidR="00A91BC0">
        <w:rPr>
          <w:rFonts w:cs="Arial"/>
          <w:sz w:val="20"/>
          <w:szCs w:val="20"/>
        </w:rPr>
        <w:t xml:space="preserve"> year extended in 120 increments</w:t>
      </w:r>
      <w:r w:rsidRPr="00CF3090">
        <w:rPr>
          <w:rFonts w:cs="Arial"/>
          <w:sz w:val="20"/>
          <w:szCs w:val="20"/>
        </w:rPr>
        <w:t>.</w:t>
      </w:r>
    </w:p>
    <w:p w:rsidR="00BC006E" w:rsidRPr="00CF3090" w:rsidRDefault="00BC006E" w:rsidP="00BC006E">
      <w:pPr>
        <w:rPr>
          <w:rFonts w:cs="Arial"/>
          <w:iCs/>
          <w:sz w:val="20"/>
          <w:szCs w:val="20"/>
        </w:rPr>
      </w:pPr>
    </w:p>
    <w:p w:rsidR="00BC006E" w:rsidRPr="00CF3090" w:rsidRDefault="00BC006E" w:rsidP="00BC006E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 xml:space="preserve">I am willing to consider approving the detail and understand the salary, travel, lodging, M&amp;IE costs and/or FTE for the duration of the detail will be funded by </w:t>
      </w:r>
      <w:r w:rsidR="00D06C70" w:rsidRPr="00F05C3A">
        <w:rPr>
          <w:rFonts w:cs="Arial"/>
          <w:sz w:val="20"/>
          <w:szCs w:val="20"/>
        </w:rPr>
        <w:t xml:space="preserve">the </w:t>
      </w:r>
      <w:r w:rsidR="00765041">
        <w:rPr>
          <w:rFonts w:cs="Arial"/>
          <w:sz w:val="20"/>
          <w:szCs w:val="20"/>
        </w:rPr>
        <w:t>Transmission Technology Services organization</w:t>
      </w:r>
      <w:r w:rsidRPr="00F05C3A">
        <w:rPr>
          <w:rFonts w:cs="Arial"/>
          <w:sz w:val="20"/>
          <w:szCs w:val="20"/>
        </w:rPr>
        <w:t>.</w:t>
      </w:r>
    </w:p>
    <w:p w:rsidR="00BC006E" w:rsidRPr="00CF3090" w:rsidRDefault="00BC006E" w:rsidP="00BC006E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iCs/>
          <w:sz w:val="20"/>
          <w:szCs w:val="20"/>
        </w:rPr>
      </w:pPr>
    </w:p>
    <w:p w:rsidR="00BC006E" w:rsidRPr="00CF3090" w:rsidRDefault="00BC006E" w:rsidP="00BC006E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  <w:szCs w:val="20"/>
        </w:rPr>
      </w:pPr>
    </w:p>
    <w:p w:rsidR="00BC006E" w:rsidRPr="00CF3090" w:rsidRDefault="00BC006E" w:rsidP="00BC006E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>Supervisor’s Signature: _____________________________   Date:  _______________</w:t>
      </w:r>
    </w:p>
    <w:p w:rsidR="00BC006E" w:rsidRPr="00CF3090" w:rsidRDefault="00BC006E" w:rsidP="00BC006E">
      <w:pPr>
        <w:rPr>
          <w:rFonts w:cs="Arial"/>
          <w:sz w:val="20"/>
          <w:szCs w:val="20"/>
        </w:rPr>
      </w:pPr>
    </w:p>
    <w:p w:rsidR="00BC006E" w:rsidRPr="00CF3090" w:rsidRDefault="00BC006E" w:rsidP="00BC006E">
      <w:pPr>
        <w:rPr>
          <w:rFonts w:cs="Arial"/>
          <w:sz w:val="20"/>
          <w:szCs w:val="20"/>
        </w:rPr>
      </w:pPr>
    </w:p>
    <w:p w:rsidR="000C5130" w:rsidRPr="00CF3090" w:rsidRDefault="00BC006E" w:rsidP="000C5130">
      <w:r w:rsidRPr="00CF3090">
        <w:rPr>
          <w:rFonts w:cs="Arial"/>
          <w:sz w:val="20"/>
          <w:szCs w:val="20"/>
        </w:rPr>
        <w:t>Supervisor’s Title: _________________________________   Routing: _____________</w:t>
      </w:r>
    </w:p>
    <w:sectPr w:rsidR="000C5130" w:rsidRPr="00CF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C6BA42"/>
    <w:lvl w:ilvl="0">
      <w:numFmt w:val="decimal"/>
      <w:lvlText w:val="*"/>
      <w:lvlJc w:val="left"/>
    </w:lvl>
  </w:abstractNum>
  <w:abstractNum w:abstractNumId="1" w15:restartNumberingAfterBreak="0">
    <w:nsid w:val="0812563A"/>
    <w:multiLevelType w:val="hybridMultilevel"/>
    <w:tmpl w:val="6C36CE0E"/>
    <w:lvl w:ilvl="0" w:tplc="6FC20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6869"/>
    <w:multiLevelType w:val="hybridMultilevel"/>
    <w:tmpl w:val="9A44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681E"/>
    <w:multiLevelType w:val="hybridMultilevel"/>
    <w:tmpl w:val="0CBC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B66"/>
    <w:multiLevelType w:val="hybridMultilevel"/>
    <w:tmpl w:val="0764DB0C"/>
    <w:lvl w:ilvl="0" w:tplc="CFBABF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A4859"/>
    <w:multiLevelType w:val="hybridMultilevel"/>
    <w:tmpl w:val="96B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1A41"/>
    <w:multiLevelType w:val="hybridMultilevel"/>
    <w:tmpl w:val="E26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0F4E"/>
    <w:multiLevelType w:val="hybridMultilevel"/>
    <w:tmpl w:val="8DBC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29A9"/>
    <w:multiLevelType w:val="hybridMultilevel"/>
    <w:tmpl w:val="CCE6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1FC"/>
    <w:multiLevelType w:val="hybridMultilevel"/>
    <w:tmpl w:val="42F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C1404"/>
    <w:multiLevelType w:val="hybridMultilevel"/>
    <w:tmpl w:val="134E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355"/>
    <w:multiLevelType w:val="hybridMultilevel"/>
    <w:tmpl w:val="93E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11F"/>
    <w:multiLevelType w:val="hybridMultilevel"/>
    <w:tmpl w:val="CFCC4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B4217"/>
    <w:multiLevelType w:val="hybridMultilevel"/>
    <w:tmpl w:val="DE96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6"/>
          <w:szCs w:val="16"/>
        </w:rPr>
      </w:lvl>
    </w:lvlOverride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F"/>
    <w:rsid w:val="00025AC5"/>
    <w:rsid w:val="00047087"/>
    <w:rsid w:val="00057040"/>
    <w:rsid w:val="000C5130"/>
    <w:rsid w:val="000D1602"/>
    <w:rsid w:val="00102F5F"/>
    <w:rsid w:val="00197095"/>
    <w:rsid w:val="001A1721"/>
    <w:rsid w:val="001E22AD"/>
    <w:rsid w:val="002136E4"/>
    <w:rsid w:val="00224B17"/>
    <w:rsid w:val="0028368F"/>
    <w:rsid w:val="002D2EDB"/>
    <w:rsid w:val="002E68D7"/>
    <w:rsid w:val="003174B6"/>
    <w:rsid w:val="00333A27"/>
    <w:rsid w:val="00337DE7"/>
    <w:rsid w:val="00340C7E"/>
    <w:rsid w:val="003510C4"/>
    <w:rsid w:val="003768B8"/>
    <w:rsid w:val="003C699D"/>
    <w:rsid w:val="003D09B3"/>
    <w:rsid w:val="003E1B86"/>
    <w:rsid w:val="003F20CA"/>
    <w:rsid w:val="00405595"/>
    <w:rsid w:val="00417FA5"/>
    <w:rsid w:val="004815EC"/>
    <w:rsid w:val="00485AA1"/>
    <w:rsid w:val="004953DF"/>
    <w:rsid w:val="004B3D68"/>
    <w:rsid w:val="0052118A"/>
    <w:rsid w:val="005538C5"/>
    <w:rsid w:val="0057681C"/>
    <w:rsid w:val="005E209E"/>
    <w:rsid w:val="005F4FC7"/>
    <w:rsid w:val="005F72D3"/>
    <w:rsid w:val="0063008C"/>
    <w:rsid w:val="006341A0"/>
    <w:rsid w:val="006A64DF"/>
    <w:rsid w:val="006B01A2"/>
    <w:rsid w:val="006B5A98"/>
    <w:rsid w:val="006B7289"/>
    <w:rsid w:val="007014A9"/>
    <w:rsid w:val="00711DD7"/>
    <w:rsid w:val="007426A4"/>
    <w:rsid w:val="00750E50"/>
    <w:rsid w:val="00765041"/>
    <w:rsid w:val="007F525D"/>
    <w:rsid w:val="0083102F"/>
    <w:rsid w:val="008A290E"/>
    <w:rsid w:val="008D767F"/>
    <w:rsid w:val="0093059E"/>
    <w:rsid w:val="00944FD3"/>
    <w:rsid w:val="00991997"/>
    <w:rsid w:val="00996CAB"/>
    <w:rsid w:val="009E4FB8"/>
    <w:rsid w:val="00A6368D"/>
    <w:rsid w:val="00A91BC0"/>
    <w:rsid w:val="00A932D9"/>
    <w:rsid w:val="00A95737"/>
    <w:rsid w:val="00AA6DB3"/>
    <w:rsid w:val="00AB6769"/>
    <w:rsid w:val="00AF3CDD"/>
    <w:rsid w:val="00B50AEA"/>
    <w:rsid w:val="00B72B56"/>
    <w:rsid w:val="00B755F6"/>
    <w:rsid w:val="00BC006E"/>
    <w:rsid w:val="00BC0FCE"/>
    <w:rsid w:val="00BE6B5C"/>
    <w:rsid w:val="00BF23BB"/>
    <w:rsid w:val="00BF3FDB"/>
    <w:rsid w:val="00C40063"/>
    <w:rsid w:val="00CB3502"/>
    <w:rsid w:val="00CC6685"/>
    <w:rsid w:val="00CE027B"/>
    <w:rsid w:val="00CE649E"/>
    <w:rsid w:val="00CF3090"/>
    <w:rsid w:val="00D06C70"/>
    <w:rsid w:val="00D8629F"/>
    <w:rsid w:val="00DE2492"/>
    <w:rsid w:val="00E538DB"/>
    <w:rsid w:val="00E72A5C"/>
    <w:rsid w:val="00EB7C16"/>
    <w:rsid w:val="00EC752D"/>
    <w:rsid w:val="00ED6B8C"/>
    <w:rsid w:val="00F05C3A"/>
    <w:rsid w:val="00F635BF"/>
    <w:rsid w:val="00F82E0F"/>
    <w:rsid w:val="00F8663E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A9F1"/>
  <w15:docId w15:val="{79D4CA7B-2017-4293-B186-16C62497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5130"/>
    <w:pPr>
      <w:keepNext/>
      <w:tabs>
        <w:tab w:val="left" w:pos="1152"/>
        <w:tab w:val="left" w:pos="1584"/>
        <w:tab w:val="left" w:pos="2016"/>
        <w:tab w:val="left" w:pos="6480"/>
      </w:tabs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C00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C5130"/>
    <w:pPr>
      <w:keepNext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C513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C5130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0C513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C513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BC006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006E"/>
    <w:rPr>
      <w:rFonts w:ascii="Times New Roman" w:eastAsia="Times New Roman" w:hAnsi="Times New Roman" w:cs="Times New Roman"/>
      <w:sz w:val="24"/>
      <w:szCs w:val="24"/>
    </w:rPr>
  </w:style>
  <w:style w:type="paragraph" w:customStyle="1" w:styleId="bpamBODY">
    <w:name w:val="bpamBODY"/>
    <w:basedOn w:val="Normal"/>
    <w:rsid w:val="00BC006E"/>
    <w:pPr>
      <w:widowControl w:val="0"/>
      <w:spacing w:before="120" w:after="120"/>
      <w:jc w:val="both"/>
    </w:pPr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rsid w:val="00BC006E"/>
    <w:pPr>
      <w:spacing w:before="100" w:beforeAutospacing="1" w:after="100" w:afterAutospacing="1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C81640.3E8B174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PA Connection Document" ma:contentTypeID="0x01010054EE158F8ADC47F2839B9353640B37B80040B6F731E5E2A64EB012592FCA05A7C7" ma:contentTypeVersion="7" ma:contentTypeDescription="Use this to create a new BPA Connection Document." ma:contentTypeScope="" ma:versionID="2c8fe9ca124198e2e5ae981c00a6184e">
  <xsd:schema xmlns:xsd="http://www.w3.org/2001/XMLSchema" xmlns:xs="http://www.w3.org/2001/XMLSchema" xmlns:p="http://schemas.microsoft.com/office/2006/metadata/properties" xmlns:ns2="270fae02-c720-400a-8a0d-61ce5ade1677" targetNamespace="http://schemas.microsoft.com/office/2006/metadata/properties" ma:root="true" ma:fieldsID="5b55c525fd8ed0cce6f9346f9b40bb1f" ns2:_="">
    <xsd:import namespace="270fae02-c720-400a-8a0d-61ce5ade1677"/>
    <xsd:element name="properties">
      <xsd:complexType>
        <xsd:sequence>
          <xsd:element name="documentManagement">
            <xsd:complexType>
              <xsd:all>
                <xsd:element ref="ns2:BPACoverageYear" minOccurs="0"/>
                <xsd:element ref="ns2:h221791a7a8a443f8d77513151070451" minOccurs="0"/>
                <xsd:element ref="ns2:TaxCatchAll" minOccurs="0"/>
                <xsd:element ref="ns2:TaxCatchAllLabel" minOccurs="0"/>
                <xsd:element ref="ns2:d6cfeaf36b7b412d8e244c11ea7d8991" minOccurs="0"/>
                <xsd:element ref="ns2:me5e7f1982d9419f8468f3c9236234c7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ae02-c720-400a-8a0d-61ce5ade1677" elementFormDefault="qualified">
    <xsd:import namespace="http://schemas.microsoft.com/office/2006/documentManagement/types"/>
    <xsd:import namespace="http://schemas.microsoft.com/office/infopath/2007/PartnerControls"/>
    <xsd:element name="BPACoverageYear" ma:index="8" nillable="true" ma:displayName="Coverage/Year" ma:description="Use this to identify the coverage or year." ma:indexed="true" ma:internalName="BPACoverageYear">
      <xsd:simpleType>
        <xsd:restriction base="dms:Text">
          <xsd:maxLength value="255"/>
        </xsd:restriction>
      </xsd:simpleType>
    </xsd:element>
    <xsd:element name="h221791a7a8a443f8d77513151070451" ma:index="9" nillable="true" ma:taxonomy="true" ma:internalName="h221791a7a8a443f8d77513151070451" ma:taxonomyFieldName="BPAConnectionTags" ma:displayName="BPA Connection Tags" ma:default="" ma:fieldId="{1221791a-7a8a-443f-8d77-513151070451}" ma:taxonomyMulti="true" ma:sspId="56c3f2bb-ef35-4ccb-84d7-78602b998d1a" ma:termSetId="fd3ac2ca-434e-47bd-bbe0-baa1406c05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054177e-c449-456d-b1a8-91a5013622c6}" ma:internalName="TaxCatchAll" ma:showField="CatchAllData" ma:web="270fae02-c720-400a-8a0d-61ce5ade1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054177e-c449-456d-b1a8-91a5013622c6}" ma:internalName="TaxCatchAllLabel" ma:readOnly="true" ma:showField="CatchAllDataLabel" ma:web="270fae02-c720-400a-8a0d-61ce5ade1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cfeaf36b7b412d8e244c11ea7d8991" ma:index="13" nillable="true" ma:taxonomy="true" ma:internalName="d6cfeaf36b7b412d8e244c11ea7d8991" ma:taxonomyFieldName="BPAConnectionNavigation" ma:displayName="BPA Connection Navigation" ma:default="" ma:fieldId="{d6cfeaf3-6b7b-412d-8e24-4c11ea7d8991}" ma:taxonomyMulti="true" ma:sspId="56c3f2bb-ef35-4ccb-84d7-78602b998d1a" ma:termSetId="652e9cc8-8e8a-453b-9967-8b0ea57c47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5e7f1982d9419f8468f3c9236234c7" ma:index="15" nillable="true" ma:taxonomy="true" ma:internalName="me5e7f1982d9419f8468f3c9236234c7" ma:taxonomyFieldName="BPALocation" ma:displayName="BPA Location" ma:default="1;#All|9b3ac6bf-9169-4ed2-8b6a-32bb27b4b3f6" ma:fieldId="{6e5e7f19-82d9-419f-8468-f3c9236234c7}" ma:taxonomyMulti="true" ma:sspId="56c3f2bb-ef35-4ccb-84d7-78602b998d1a" ma:termSetId="ad36499f-a366-4b92-9635-46cd9f2d24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fae02-c720-400a-8a0d-61ce5ade1677">
      <Value>1</Value>
    </TaxCatchAll>
    <BPACoverageYear xmlns="270fae02-c720-400a-8a0d-61ce5ade1677">Manager Templates</BPACoverageYear>
    <me5e7f1982d9419f8468f3c9236234c7 xmlns="270fae02-c720-400a-8a0d-61ce5ade1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9b3ac6bf-9169-4ed2-8b6a-32bb27b4b3f6</TermId>
        </TermInfo>
      </Terms>
    </me5e7f1982d9419f8468f3c9236234c7>
    <d6cfeaf36b7b412d8e244c11ea7d8991 xmlns="270fae02-c720-400a-8a0d-61ce5ade1677">
      <Terms xmlns="http://schemas.microsoft.com/office/infopath/2007/PartnerControls"/>
    </d6cfeaf36b7b412d8e244c11ea7d8991>
    <h221791a7a8a443f8d77513151070451 xmlns="270fae02-c720-400a-8a0d-61ce5ade1677">
      <Terms xmlns="http://schemas.microsoft.com/office/infopath/2007/PartnerControls"/>
    </h221791a7a8a443f8d7751315107045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B95C-6793-457A-9147-018ABC5D4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ae02-c720-400a-8a0d-61ce5ade1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E397A-93EB-4038-BDED-844163E81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47715-EE5D-4694-8177-D0067C79F390}">
  <ds:schemaRefs>
    <ds:schemaRef ds:uri="http://purl.org/dc/dcmitype/"/>
    <ds:schemaRef ds:uri="270fae02-c720-400a-8a0d-61ce5ade167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0359E3-48E0-481E-8FA1-6BFD4CDF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Interest Announcement</vt:lpstr>
    </vt:vector>
  </TitlesOfParts>
  <Company>Bonneville Power Administration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Interest Announcement</dc:title>
  <dc:creator>BPA User</dc:creator>
  <cp:lastModifiedBy>Rosales,Henry J (BPA) - NHQ-1</cp:lastModifiedBy>
  <cp:revision>10</cp:revision>
  <dcterms:created xsi:type="dcterms:W3CDTF">2023-03-09T20:50:00Z</dcterms:created>
  <dcterms:modified xsi:type="dcterms:W3CDTF">2023-03-30T21:24:00Z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0x01010054EE158F8ADC47F2839B9353640B37B80040B6F731E5E2A64EB012592FCA05A7C7</vt:lpwstr>
  </property>
  <property fmtid="{D5CDD505-2E9C-101B-9397-08002B2CF9AE}" pid="3" name="BPAConnectionTags">
    <vt:lpwstr/>
  </property>
  <property fmtid="{D5CDD505-2E9C-101B-9397-08002B2CF9AE}" pid="4" name="BPALocation">
    <vt:lpwstr>1;#All|9b3ac6bf-9169-4ed2-8b6a-32bb27b4b3f6</vt:lpwstr>
  </property>
  <property fmtid="{D5CDD505-2E9C-101B-9397-08002B2CF9AE}" pid="5" name="BPAConnectionNavigation">
    <vt:lpwstr/>
  </property>
</Properties>
</file>