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38" w:rsidRPr="0086556D" w:rsidRDefault="00C746EA" w:rsidP="0019272E">
      <w:pPr>
        <w:pStyle w:val="Heading1"/>
        <w:ind w:firstLine="720"/>
        <w:jc w:val="center"/>
        <w:rPr>
          <w:rFonts w:ascii="Times New Roman" w:hAnsi="Times New Roman" w:cs="Times New Roman"/>
          <w:sz w:val="28"/>
        </w:rPr>
      </w:pPr>
      <w:bookmarkStart w:id="0" w:name="_GoBack"/>
      <w:bookmarkEnd w:id="0"/>
      <w:r w:rsidRPr="00CB758E">
        <w:rPr>
          <w:rFonts w:ascii="Times New Roman" w:hAnsi="Times New Roman" w:cs="Times New Roman"/>
        </w:rPr>
        <w:t xml:space="preserve">Bonneville Power Administration: Stakeholder </w:t>
      </w:r>
      <w:r w:rsidR="0019272E">
        <w:rPr>
          <w:rFonts w:ascii="Times New Roman" w:hAnsi="Times New Roman" w:cs="Times New Roman"/>
        </w:rPr>
        <w:tab/>
      </w:r>
      <w:r w:rsidR="0019272E">
        <w:rPr>
          <w:rFonts w:ascii="Times New Roman" w:hAnsi="Times New Roman" w:cs="Times New Roman"/>
        </w:rPr>
        <w:tab/>
      </w:r>
      <w:r w:rsidR="0019272E">
        <w:rPr>
          <w:rFonts w:ascii="Times New Roman" w:hAnsi="Times New Roman" w:cs="Times New Roman"/>
        </w:rPr>
        <w:tab/>
      </w:r>
      <w:r w:rsidRPr="00CB758E">
        <w:rPr>
          <w:rFonts w:ascii="Times New Roman" w:hAnsi="Times New Roman" w:cs="Times New Roman"/>
        </w:rPr>
        <w:t>Question/BPA Responses</w:t>
      </w:r>
      <w:r w:rsidRPr="0086556D">
        <w:rPr>
          <w:rFonts w:ascii="Times New Roman" w:hAnsi="Times New Roman" w:cs="Times New Roman"/>
          <w:sz w:val="28"/>
        </w:rPr>
        <w:t>:</w:t>
      </w:r>
    </w:p>
    <w:p w:rsidR="00C746EA" w:rsidRPr="005A387B" w:rsidRDefault="00695326" w:rsidP="00CB758E">
      <w:pPr>
        <w:jc w:val="center"/>
        <w:rPr>
          <w:i/>
          <w:color w:val="FF0000"/>
        </w:rPr>
      </w:pPr>
      <w:r>
        <w:rPr>
          <w:i/>
          <w:color w:val="FF0000"/>
        </w:rPr>
        <w:t xml:space="preserve">Date Document Updated </w:t>
      </w:r>
      <w:r w:rsidR="00BC52AD">
        <w:rPr>
          <w:i/>
          <w:color w:val="FF0000"/>
        </w:rPr>
        <w:t xml:space="preserve">May </w:t>
      </w:r>
      <w:r w:rsidR="00F841C1">
        <w:rPr>
          <w:i/>
          <w:color w:val="FF0000"/>
        </w:rPr>
        <w:t>10</w:t>
      </w:r>
      <w:r w:rsidR="00CB758E" w:rsidRPr="005A387B">
        <w:rPr>
          <w:i/>
          <w:color w:val="FF0000"/>
        </w:rPr>
        <w:t>, 2022</w:t>
      </w:r>
    </w:p>
    <w:p w:rsidR="00BC52AD" w:rsidRDefault="00BC52AD" w:rsidP="00C64E3E">
      <w:pPr>
        <w:pStyle w:val="ListParagraph"/>
        <w:ind w:left="0"/>
        <w:jc w:val="left"/>
        <w:textAlignment w:val="baseline"/>
        <w:rPr>
          <w:color w:val="000000"/>
          <w:szCs w:val="24"/>
        </w:rPr>
      </w:pPr>
    </w:p>
    <w:p w:rsidR="009545B3" w:rsidRDefault="004B6ED1" w:rsidP="00C64E3E">
      <w:pPr>
        <w:pStyle w:val="ListParagraph"/>
        <w:ind w:left="0"/>
        <w:jc w:val="left"/>
        <w:textAlignment w:val="baseline"/>
        <w:rPr>
          <w:color w:val="000000"/>
          <w:szCs w:val="24"/>
        </w:rPr>
      </w:pPr>
      <w:r>
        <w:rPr>
          <w:color w:val="000000"/>
          <w:szCs w:val="24"/>
        </w:rPr>
        <w:t>Bonneville Power A</w:t>
      </w:r>
      <w:r w:rsidR="00C64E3E">
        <w:rPr>
          <w:color w:val="000000"/>
          <w:szCs w:val="24"/>
        </w:rPr>
        <w:t>dministration</w:t>
      </w:r>
      <w:r>
        <w:rPr>
          <w:color w:val="000000"/>
          <w:szCs w:val="24"/>
        </w:rPr>
        <w:t xml:space="preserve"> welcomes parties to provide questions/comments related to the </w:t>
      </w:r>
      <w:r w:rsidR="00F32769">
        <w:rPr>
          <w:color w:val="000000"/>
          <w:szCs w:val="24"/>
        </w:rPr>
        <w:t>April 11</w:t>
      </w:r>
      <w:r w:rsidR="009545B3" w:rsidRPr="00D674CA">
        <w:rPr>
          <w:color w:val="000000"/>
          <w:szCs w:val="24"/>
          <w:vertAlign w:val="superscript"/>
        </w:rPr>
        <w:t>th</w:t>
      </w:r>
      <w:r w:rsidR="009545B3">
        <w:rPr>
          <w:color w:val="000000"/>
          <w:szCs w:val="24"/>
        </w:rPr>
        <w:t xml:space="preserve">, 2022 </w:t>
      </w:r>
      <w:r>
        <w:rPr>
          <w:color w:val="000000"/>
          <w:szCs w:val="24"/>
        </w:rPr>
        <w:t>Request for Offer</w:t>
      </w:r>
      <w:r w:rsidR="009545B3">
        <w:rPr>
          <w:color w:val="000000"/>
          <w:szCs w:val="24"/>
        </w:rPr>
        <w:t>s</w:t>
      </w:r>
      <w:r>
        <w:rPr>
          <w:color w:val="000000"/>
          <w:szCs w:val="24"/>
        </w:rPr>
        <w:t xml:space="preserve">. </w:t>
      </w:r>
      <w:r w:rsidR="00C64E3E">
        <w:rPr>
          <w:color w:val="000000"/>
          <w:szCs w:val="24"/>
        </w:rPr>
        <w:t>Parties</w:t>
      </w:r>
      <w:r w:rsidR="00C64E3E">
        <w:t xml:space="preserve"> may contact Mark Miller at 503-230-4003, or </w:t>
      </w:r>
      <w:hyperlink r:id="rId7" w:history="1">
        <w:r w:rsidR="00C64E3E" w:rsidRPr="008161B3">
          <w:rPr>
            <w:rStyle w:val="Hyperlink"/>
          </w:rPr>
          <w:t>memiller@bpa.gov</w:t>
        </w:r>
      </w:hyperlink>
      <w:r w:rsidR="00C64E3E">
        <w:rPr>
          <w:color w:val="000000"/>
          <w:szCs w:val="24"/>
        </w:rPr>
        <w:t xml:space="preserve">. </w:t>
      </w:r>
    </w:p>
    <w:p w:rsidR="009545B3" w:rsidRDefault="009545B3" w:rsidP="00C64E3E">
      <w:pPr>
        <w:pStyle w:val="ListParagraph"/>
        <w:ind w:left="0"/>
        <w:jc w:val="left"/>
        <w:textAlignment w:val="baseline"/>
        <w:rPr>
          <w:color w:val="000000"/>
          <w:szCs w:val="24"/>
        </w:rPr>
      </w:pPr>
    </w:p>
    <w:p w:rsidR="00C64E3E" w:rsidRDefault="009545B3" w:rsidP="00C64E3E">
      <w:pPr>
        <w:pStyle w:val="ListParagraph"/>
        <w:ind w:left="0"/>
        <w:jc w:val="left"/>
        <w:textAlignment w:val="baseline"/>
        <w:rPr>
          <w:color w:val="000000"/>
          <w:szCs w:val="24"/>
        </w:rPr>
      </w:pPr>
      <w:r>
        <w:rPr>
          <w:color w:val="000000"/>
          <w:szCs w:val="24"/>
        </w:rPr>
        <w:t>The following are a summary of the questions received by BPA and BPA’s responses:</w:t>
      </w:r>
    </w:p>
    <w:p w:rsidR="00C64E3E" w:rsidRDefault="00C64E3E" w:rsidP="005A387B">
      <w:pPr>
        <w:pStyle w:val="ListParagraph"/>
        <w:ind w:left="0"/>
        <w:jc w:val="left"/>
        <w:textAlignment w:val="baseline"/>
        <w:rPr>
          <w:color w:val="000000"/>
          <w:szCs w:val="24"/>
        </w:rPr>
      </w:pPr>
    </w:p>
    <w:tbl>
      <w:tblPr>
        <w:tblStyle w:val="TableGrid"/>
        <w:tblW w:w="9229" w:type="dxa"/>
        <w:tblLook w:val="04A0" w:firstRow="1" w:lastRow="0" w:firstColumn="1" w:lastColumn="0" w:noHBand="0" w:noVBand="1"/>
      </w:tblPr>
      <w:tblGrid>
        <w:gridCol w:w="1795"/>
        <w:gridCol w:w="7434"/>
      </w:tblGrid>
      <w:tr w:rsidR="00587563" w:rsidTr="00587563">
        <w:trPr>
          <w:trHeight w:val="602"/>
        </w:trPr>
        <w:tc>
          <w:tcPr>
            <w:tcW w:w="1795" w:type="dxa"/>
          </w:tcPr>
          <w:p w:rsidR="00587563" w:rsidRDefault="00587563" w:rsidP="00FC041E">
            <w:pPr>
              <w:jc w:val="center"/>
            </w:pPr>
            <w:r>
              <w:t>Date Submitted/</w:t>
            </w:r>
          </w:p>
          <w:p w:rsidR="00587563" w:rsidRDefault="00587563" w:rsidP="00FC041E">
            <w:pPr>
              <w:jc w:val="center"/>
            </w:pPr>
            <w:r>
              <w:t>Question</w:t>
            </w:r>
          </w:p>
        </w:tc>
        <w:tc>
          <w:tcPr>
            <w:tcW w:w="7434" w:type="dxa"/>
          </w:tcPr>
          <w:p w:rsidR="00587563" w:rsidRDefault="00587563" w:rsidP="00FC041E">
            <w:r>
              <w:t xml:space="preserve">4/7/22 </w:t>
            </w:r>
          </w:p>
          <w:p w:rsidR="00587563" w:rsidRDefault="00587563" w:rsidP="00FC041E">
            <w:r>
              <w:t>How does the RFO interplay with Customer’s potential request to switch from Slice to load following?</w:t>
            </w:r>
          </w:p>
        </w:tc>
      </w:tr>
      <w:tr w:rsidR="00587563" w:rsidTr="00587563">
        <w:tc>
          <w:tcPr>
            <w:tcW w:w="1795" w:type="dxa"/>
          </w:tcPr>
          <w:p w:rsidR="00587563" w:rsidRDefault="00587563" w:rsidP="00FC041E">
            <w:pPr>
              <w:jc w:val="center"/>
            </w:pPr>
            <w:r>
              <w:t>BPA’s Response</w:t>
            </w:r>
          </w:p>
          <w:p w:rsidR="00587563" w:rsidRDefault="00587563" w:rsidP="00FC041E">
            <w:pPr>
              <w:jc w:val="center"/>
            </w:pPr>
          </w:p>
        </w:tc>
        <w:tc>
          <w:tcPr>
            <w:tcW w:w="7434" w:type="dxa"/>
          </w:tcPr>
          <w:p w:rsidR="00587563" w:rsidRPr="00C56336" w:rsidRDefault="00587563" w:rsidP="00FC041E">
            <w:r w:rsidRPr="00C56336">
              <w:t>Since the RFO is limited to power that will be delivered during the current rate period and the potential option to switch to Load Following would not begin until BP-24, in the end the RFO would not impact a customer’s decision to exercise an option to change products.   Even though the processes are running in parallel, the timelines for delivery do not overlap.</w:t>
            </w:r>
          </w:p>
          <w:p w:rsidR="00587563" w:rsidRDefault="00587563" w:rsidP="00FC041E"/>
        </w:tc>
      </w:tr>
      <w:tr w:rsidR="00587563" w:rsidTr="00587563">
        <w:tc>
          <w:tcPr>
            <w:tcW w:w="9229" w:type="dxa"/>
            <w:gridSpan w:val="2"/>
          </w:tcPr>
          <w:p w:rsidR="00587563" w:rsidRDefault="00587563" w:rsidP="00FC041E"/>
        </w:tc>
      </w:tr>
      <w:tr w:rsidR="00587563" w:rsidTr="00587563">
        <w:tc>
          <w:tcPr>
            <w:tcW w:w="1795" w:type="dxa"/>
          </w:tcPr>
          <w:p w:rsidR="00587563" w:rsidRDefault="00587563" w:rsidP="00FC041E">
            <w:pPr>
              <w:jc w:val="center"/>
            </w:pPr>
            <w:r>
              <w:t>Date Submitted/</w:t>
            </w:r>
          </w:p>
          <w:p w:rsidR="00587563" w:rsidRDefault="00587563" w:rsidP="00FC041E">
            <w:pPr>
              <w:jc w:val="center"/>
            </w:pPr>
            <w:r>
              <w:t>Question</w:t>
            </w:r>
          </w:p>
        </w:tc>
        <w:tc>
          <w:tcPr>
            <w:tcW w:w="7434" w:type="dxa"/>
          </w:tcPr>
          <w:p w:rsidR="00587563" w:rsidRDefault="00587563" w:rsidP="00FC041E">
            <w:r>
              <w:t>4/13/2022</w:t>
            </w:r>
          </w:p>
          <w:p w:rsidR="00587563" w:rsidRDefault="00587563" w:rsidP="00FC041E">
            <w:r>
              <w:t>Can you confirm that per Section 16, the only entities allowed to b</w:t>
            </w:r>
            <w:r w:rsidR="00B72C33">
              <w:t>id are a) NW Public Preference C</w:t>
            </w:r>
            <w:r>
              <w:t>ustomers, b) NW IOUs and c) CA utilities?</w:t>
            </w:r>
          </w:p>
        </w:tc>
      </w:tr>
      <w:tr w:rsidR="00587563" w:rsidTr="00587563">
        <w:tc>
          <w:tcPr>
            <w:tcW w:w="1795" w:type="dxa"/>
          </w:tcPr>
          <w:p w:rsidR="00587563" w:rsidRDefault="00587563" w:rsidP="00FC041E">
            <w:pPr>
              <w:jc w:val="center"/>
            </w:pPr>
            <w:r>
              <w:t>BPA’s Response</w:t>
            </w:r>
          </w:p>
          <w:p w:rsidR="00587563" w:rsidRDefault="00587563" w:rsidP="00FC041E">
            <w:pPr>
              <w:jc w:val="center"/>
            </w:pPr>
          </w:p>
        </w:tc>
        <w:tc>
          <w:tcPr>
            <w:tcW w:w="7434" w:type="dxa"/>
          </w:tcPr>
          <w:p w:rsidR="00587563" w:rsidRDefault="00587563" w:rsidP="00FC041E">
            <w:r>
              <w:t>BPA is not actively pursuing sales to market participants wh</w:t>
            </w:r>
            <w:r w:rsidR="00B72C33">
              <w:t>o are not NW Public Preference C</w:t>
            </w:r>
            <w:r>
              <w:t>ustomers, NW IOUs or CA utilities; however, BPA will consider all bids. All awards will be subject to Preference requirements.</w:t>
            </w:r>
          </w:p>
        </w:tc>
      </w:tr>
      <w:tr w:rsidR="00587563" w:rsidTr="00587563">
        <w:tc>
          <w:tcPr>
            <w:tcW w:w="9229" w:type="dxa"/>
            <w:gridSpan w:val="2"/>
          </w:tcPr>
          <w:p w:rsidR="00587563" w:rsidRDefault="00587563" w:rsidP="00FC041E"/>
        </w:tc>
      </w:tr>
      <w:tr w:rsidR="00587563" w:rsidTr="00587563">
        <w:tc>
          <w:tcPr>
            <w:tcW w:w="1795" w:type="dxa"/>
          </w:tcPr>
          <w:p w:rsidR="00587563" w:rsidRDefault="00587563" w:rsidP="00FC041E">
            <w:pPr>
              <w:jc w:val="center"/>
            </w:pPr>
            <w:r>
              <w:t>Date Submitted/</w:t>
            </w:r>
          </w:p>
          <w:p w:rsidR="00587563" w:rsidRDefault="00587563" w:rsidP="00FC041E">
            <w:pPr>
              <w:jc w:val="center"/>
            </w:pPr>
            <w:r>
              <w:t>Question</w:t>
            </w:r>
          </w:p>
        </w:tc>
        <w:tc>
          <w:tcPr>
            <w:tcW w:w="7434" w:type="dxa"/>
          </w:tcPr>
          <w:p w:rsidR="00587563" w:rsidRDefault="00587563" w:rsidP="00FC041E">
            <w:r>
              <w:t>4/13/2022</w:t>
            </w:r>
          </w:p>
          <w:p w:rsidR="00587563" w:rsidRDefault="00587563" w:rsidP="00FC041E">
            <w:r>
              <w:t>While you state this is WSPP Schedule C, you also state the e-tag will include ACS designation. This will ensure your federal system delivery and not any market deliveries?</w:t>
            </w:r>
          </w:p>
        </w:tc>
      </w:tr>
      <w:tr w:rsidR="00587563" w:rsidTr="00587563">
        <w:tc>
          <w:tcPr>
            <w:tcW w:w="1795" w:type="dxa"/>
          </w:tcPr>
          <w:p w:rsidR="00587563" w:rsidRDefault="00587563" w:rsidP="00FC041E">
            <w:pPr>
              <w:jc w:val="center"/>
            </w:pPr>
            <w:r>
              <w:t>BPA’s Response</w:t>
            </w:r>
          </w:p>
          <w:p w:rsidR="00587563" w:rsidRDefault="00587563" w:rsidP="00FC041E">
            <w:pPr>
              <w:jc w:val="center"/>
            </w:pPr>
          </w:p>
        </w:tc>
        <w:tc>
          <w:tcPr>
            <w:tcW w:w="7434" w:type="dxa"/>
          </w:tcPr>
          <w:p w:rsidR="00587563" w:rsidRDefault="00587563" w:rsidP="00FC041E">
            <w:r>
              <w:t xml:space="preserve">When BPA performs ACS sales it includes the necessary data built into the e-tag. This identifies that the power is sourced from BPA’s system and the purchasing party receives the benefit of BPA’s clean power. This is especially beneficial to parties who have reporting obligations in California. BPA’s CARB emission factor for 2022 is 0.0160 MT CO2e per MWh. Next year’s emissions factors is not yet posted but it can be found at the link below when they become available. </w:t>
            </w:r>
          </w:p>
          <w:p w:rsidR="00587563" w:rsidRDefault="0016620F" w:rsidP="00FC041E">
            <w:hyperlink r:id="rId8" w:history="1">
              <w:r w:rsidR="00587563">
                <w:rPr>
                  <w:rStyle w:val="Hyperlink"/>
                </w:rPr>
                <w:t>https://ww2.arb.ca.gov/mrr-acs</w:t>
              </w:r>
            </w:hyperlink>
          </w:p>
        </w:tc>
      </w:tr>
      <w:tr w:rsidR="00587563" w:rsidTr="00587563">
        <w:tc>
          <w:tcPr>
            <w:tcW w:w="9229" w:type="dxa"/>
            <w:gridSpan w:val="2"/>
          </w:tcPr>
          <w:p w:rsidR="00587563" w:rsidRDefault="00587563" w:rsidP="00FC041E"/>
        </w:tc>
      </w:tr>
      <w:tr w:rsidR="00587563" w:rsidTr="00587563">
        <w:tc>
          <w:tcPr>
            <w:tcW w:w="1795" w:type="dxa"/>
          </w:tcPr>
          <w:p w:rsidR="00587563" w:rsidRDefault="00587563" w:rsidP="00FC041E">
            <w:pPr>
              <w:jc w:val="center"/>
            </w:pPr>
            <w:r>
              <w:t>Date Submitted/</w:t>
            </w:r>
          </w:p>
          <w:p w:rsidR="00587563" w:rsidRDefault="00587563" w:rsidP="00FC041E">
            <w:pPr>
              <w:jc w:val="center"/>
            </w:pPr>
            <w:r>
              <w:t>Question</w:t>
            </w:r>
          </w:p>
        </w:tc>
        <w:tc>
          <w:tcPr>
            <w:tcW w:w="7434" w:type="dxa"/>
          </w:tcPr>
          <w:p w:rsidR="00587563" w:rsidRDefault="00587563" w:rsidP="00FC041E">
            <w:r>
              <w:t>4/14/2021</w:t>
            </w:r>
          </w:p>
          <w:p w:rsidR="00587563" w:rsidRDefault="00587563" w:rsidP="00BC52AD">
            <w:r>
              <w:t xml:space="preserve">Will BPA accept a fixed price for Product 2 or only Mid-C index? </w:t>
            </w:r>
          </w:p>
        </w:tc>
      </w:tr>
      <w:tr w:rsidR="00587563" w:rsidTr="00587563">
        <w:tc>
          <w:tcPr>
            <w:tcW w:w="1795" w:type="dxa"/>
          </w:tcPr>
          <w:p w:rsidR="00587563" w:rsidRDefault="00587563" w:rsidP="00FC041E">
            <w:pPr>
              <w:jc w:val="center"/>
            </w:pPr>
            <w:r>
              <w:t>BPA’s Response</w:t>
            </w:r>
          </w:p>
          <w:p w:rsidR="00587563" w:rsidRDefault="00587563" w:rsidP="00FC041E">
            <w:pPr>
              <w:jc w:val="center"/>
            </w:pPr>
          </w:p>
        </w:tc>
        <w:tc>
          <w:tcPr>
            <w:tcW w:w="7434" w:type="dxa"/>
          </w:tcPr>
          <w:p w:rsidR="00587563" w:rsidRDefault="00587563" w:rsidP="00BC52AD">
            <w:r>
              <w:t xml:space="preserve">BPA will review all bids but we are planning to evaluate only conforming bids.  </w:t>
            </w:r>
          </w:p>
        </w:tc>
      </w:tr>
      <w:tr w:rsidR="00587563" w:rsidTr="00587563">
        <w:tc>
          <w:tcPr>
            <w:tcW w:w="9229" w:type="dxa"/>
            <w:gridSpan w:val="2"/>
          </w:tcPr>
          <w:p w:rsidR="00587563" w:rsidRDefault="00587563" w:rsidP="00587563"/>
          <w:p w:rsidR="00BC52AD" w:rsidRPr="00587563" w:rsidRDefault="00BC52AD" w:rsidP="00587563"/>
        </w:tc>
      </w:tr>
      <w:tr w:rsidR="00587563" w:rsidTr="00587563">
        <w:tc>
          <w:tcPr>
            <w:tcW w:w="1795" w:type="dxa"/>
          </w:tcPr>
          <w:p w:rsidR="00587563" w:rsidRPr="00587563" w:rsidRDefault="00587563" w:rsidP="00587563">
            <w:pPr>
              <w:jc w:val="center"/>
            </w:pPr>
            <w:r w:rsidRPr="00587563">
              <w:lastRenderedPageBreak/>
              <w:t>Date Submitted/</w:t>
            </w:r>
          </w:p>
          <w:p w:rsidR="00587563" w:rsidRPr="00587563" w:rsidRDefault="00587563" w:rsidP="00587563">
            <w:pPr>
              <w:jc w:val="center"/>
            </w:pPr>
            <w:r w:rsidRPr="00587563">
              <w:t>Question</w:t>
            </w:r>
          </w:p>
        </w:tc>
        <w:tc>
          <w:tcPr>
            <w:tcW w:w="7434" w:type="dxa"/>
          </w:tcPr>
          <w:p w:rsidR="00587563" w:rsidRPr="00587563" w:rsidRDefault="00587563" w:rsidP="00587563">
            <w:r w:rsidRPr="00587563">
              <w:t>4/27/2022</w:t>
            </w:r>
          </w:p>
          <w:p w:rsidR="00587563" w:rsidRPr="00587563" w:rsidRDefault="00587563" w:rsidP="00587563">
            <w:r w:rsidRPr="00587563">
              <w:t>How would BPA respond when both bidders are Preference Customers but only one has a Regional Dialogue contract?</w:t>
            </w:r>
          </w:p>
        </w:tc>
      </w:tr>
      <w:tr w:rsidR="00587563" w:rsidTr="003353D3">
        <w:trPr>
          <w:trHeight w:val="413"/>
        </w:trPr>
        <w:tc>
          <w:tcPr>
            <w:tcW w:w="1795" w:type="dxa"/>
          </w:tcPr>
          <w:p w:rsidR="00587563" w:rsidRPr="00587563" w:rsidRDefault="00587563" w:rsidP="00587563">
            <w:pPr>
              <w:jc w:val="center"/>
            </w:pPr>
            <w:r w:rsidRPr="00587563">
              <w:t>BPA’s Response</w:t>
            </w:r>
          </w:p>
          <w:p w:rsidR="00587563" w:rsidRPr="00587563" w:rsidRDefault="00587563" w:rsidP="00587563">
            <w:pPr>
              <w:jc w:val="center"/>
            </w:pPr>
          </w:p>
        </w:tc>
        <w:tc>
          <w:tcPr>
            <w:tcW w:w="7434" w:type="dxa"/>
          </w:tcPr>
          <w:p w:rsidR="00587563" w:rsidRPr="00587563" w:rsidRDefault="00587563" w:rsidP="00587563">
            <w:r w:rsidRPr="00587563">
              <w:t>Both entities will have the opportunity to exercise their preference rights.</w:t>
            </w:r>
          </w:p>
        </w:tc>
      </w:tr>
      <w:tr w:rsidR="00587563" w:rsidTr="00587563">
        <w:tc>
          <w:tcPr>
            <w:tcW w:w="1795" w:type="dxa"/>
          </w:tcPr>
          <w:p w:rsidR="00587563" w:rsidRDefault="00587563" w:rsidP="00587563">
            <w:pPr>
              <w:jc w:val="center"/>
            </w:pPr>
          </w:p>
        </w:tc>
        <w:tc>
          <w:tcPr>
            <w:tcW w:w="7434" w:type="dxa"/>
          </w:tcPr>
          <w:p w:rsidR="00587563" w:rsidRDefault="00587563" w:rsidP="00587563"/>
        </w:tc>
      </w:tr>
      <w:tr w:rsidR="00587563" w:rsidTr="00587563">
        <w:tc>
          <w:tcPr>
            <w:tcW w:w="1795" w:type="dxa"/>
          </w:tcPr>
          <w:p w:rsidR="00587563" w:rsidRDefault="00587563" w:rsidP="00587563">
            <w:pPr>
              <w:jc w:val="center"/>
            </w:pPr>
            <w:r>
              <w:t>Date Submitted/</w:t>
            </w:r>
          </w:p>
          <w:p w:rsidR="00587563" w:rsidRDefault="00587563" w:rsidP="00587563">
            <w:pPr>
              <w:jc w:val="center"/>
            </w:pPr>
            <w:r>
              <w:t>Question</w:t>
            </w:r>
          </w:p>
        </w:tc>
        <w:tc>
          <w:tcPr>
            <w:tcW w:w="7434" w:type="dxa"/>
          </w:tcPr>
          <w:p w:rsidR="00587563" w:rsidRDefault="00587563" w:rsidP="00587563">
            <w:r>
              <w:t>4/27/2022</w:t>
            </w:r>
          </w:p>
          <w:p w:rsidR="00587563" w:rsidRDefault="00587563" w:rsidP="00330B6D">
            <w:r>
              <w:t>Will non-bidding Preference Customers be allowed to exerci</w:t>
            </w:r>
            <w:r w:rsidRPr="00B72C33">
              <w:t xml:space="preserve">se their </w:t>
            </w:r>
            <w:r w:rsidR="00B72C33" w:rsidRPr="00B72C33">
              <w:t>p</w:t>
            </w:r>
            <w:r w:rsidR="00330B6D" w:rsidRPr="00B72C33">
              <w:t>reference rights</w:t>
            </w:r>
            <w:r w:rsidRPr="00B72C33">
              <w:t>?</w:t>
            </w:r>
          </w:p>
        </w:tc>
      </w:tr>
      <w:tr w:rsidR="00587563" w:rsidTr="00587563">
        <w:tc>
          <w:tcPr>
            <w:tcW w:w="1795" w:type="dxa"/>
          </w:tcPr>
          <w:p w:rsidR="00587563" w:rsidRDefault="00587563" w:rsidP="00587563">
            <w:pPr>
              <w:jc w:val="center"/>
            </w:pPr>
            <w:r>
              <w:t>BPA’s Response</w:t>
            </w:r>
          </w:p>
          <w:p w:rsidR="00587563" w:rsidRDefault="00587563" w:rsidP="00587563">
            <w:pPr>
              <w:jc w:val="center"/>
            </w:pPr>
          </w:p>
        </w:tc>
        <w:tc>
          <w:tcPr>
            <w:tcW w:w="7434" w:type="dxa"/>
          </w:tcPr>
          <w:p w:rsidR="00587563" w:rsidRDefault="00E9340E" w:rsidP="00587563">
            <w:r>
              <w:t>Yes.</w:t>
            </w:r>
          </w:p>
        </w:tc>
      </w:tr>
      <w:tr w:rsidR="00587563" w:rsidTr="00587563">
        <w:tc>
          <w:tcPr>
            <w:tcW w:w="9229" w:type="dxa"/>
            <w:gridSpan w:val="2"/>
          </w:tcPr>
          <w:p w:rsidR="00587563" w:rsidRDefault="00587563" w:rsidP="00587563"/>
        </w:tc>
      </w:tr>
      <w:tr w:rsidR="00587563" w:rsidTr="00587563">
        <w:tc>
          <w:tcPr>
            <w:tcW w:w="1795" w:type="dxa"/>
          </w:tcPr>
          <w:p w:rsidR="00587563" w:rsidRDefault="00587563" w:rsidP="00587563">
            <w:pPr>
              <w:jc w:val="center"/>
            </w:pPr>
            <w:r>
              <w:t>Date Submitted/</w:t>
            </w:r>
          </w:p>
          <w:p w:rsidR="00587563" w:rsidRDefault="00587563" w:rsidP="00587563">
            <w:pPr>
              <w:jc w:val="center"/>
            </w:pPr>
            <w:r>
              <w:t>Question</w:t>
            </w:r>
          </w:p>
        </w:tc>
        <w:tc>
          <w:tcPr>
            <w:tcW w:w="7434" w:type="dxa"/>
          </w:tcPr>
          <w:p w:rsidR="00587563" w:rsidRPr="00B72C33" w:rsidRDefault="00587563" w:rsidP="00587563">
            <w:r w:rsidRPr="00B72C33">
              <w:t>4/27/2022</w:t>
            </w:r>
          </w:p>
          <w:p w:rsidR="00587563" w:rsidRPr="00B72C33" w:rsidRDefault="00587563" w:rsidP="00E51E5E">
            <w:r w:rsidRPr="00B72C33">
              <w:t>If a Preference Custom</w:t>
            </w:r>
            <w:r w:rsidR="00330B6D" w:rsidRPr="00B72C33">
              <w:t>er contacted BPA about</w:t>
            </w:r>
            <w:r w:rsidR="003353D3" w:rsidRPr="00B72C33">
              <w:t xml:space="preserve"> purchasing power products </w:t>
            </w:r>
            <w:r w:rsidR="00E51E5E" w:rsidRPr="00B72C33">
              <w:t xml:space="preserve">during the RFO process, </w:t>
            </w:r>
            <w:r w:rsidR="003353D3" w:rsidRPr="00B72C33">
              <w:t>would that</w:t>
            </w:r>
            <w:r w:rsidRPr="00B72C33">
              <w:t xml:space="preserve"> inventory amounts </w:t>
            </w:r>
            <w:r w:rsidR="003353D3" w:rsidRPr="00B72C33">
              <w:t>reduce the availability for the RFO?</w:t>
            </w:r>
          </w:p>
        </w:tc>
      </w:tr>
      <w:tr w:rsidR="00587563" w:rsidTr="00587563">
        <w:tc>
          <w:tcPr>
            <w:tcW w:w="1795" w:type="dxa"/>
          </w:tcPr>
          <w:p w:rsidR="00587563" w:rsidRDefault="00587563" w:rsidP="00587563">
            <w:pPr>
              <w:jc w:val="center"/>
            </w:pPr>
            <w:r>
              <w:t>BPA’s Response</w:t>
            </w:r>
          </w:p>
          <w:p w:rsidR="00587563" w:rsidRDefault="00587563" w:rsidP="00587563">
            <w:pPr>
              <w:jc w:val="center"/>
            </w:pPr>
          </w:p>
        </w:tc>
        <w:tc>
          <w:tcPr>
            <w:tcW w:w="7434" w:type="dxa"/>
          </w:tcPr>
          <w:p w:rsidR="00587563" w:rsidRPr="00B72C33" w:rsidRDefault="00587563" w:rsidP="00E51E5E">
            <w:r w:rsidRPr="00B72C33">
              <w:t>BPA s</w:t>
            </w:r>
            <w:r w:rsidR="00E51E5E" w:rsidRPr="00B72C33">
              <w:t>ells</w:t>
            </w:r>
            <w:r w:rsidRPr="00B72C33">
              <w:t xml:space="preserve"> energy products </w:t>
            </w:r>
            <w:proofErr w:type="spellStart"/>
            <w:r w:rsidRPr="00B72C33">
              <w:t>everyday</w:t>
            </w:r>
            <w:proofErr w:type="spellEnd"/>
            <w:r w:rsidRPr="00B72C33">
              <w:t xml:space="preserve"> and encourages Preference Customers to contact BPA on pricing and availability.</w:t>
            </w:r>
          </w:p>
        </w:tc>
      </w:tr>
      <w:tr w:rsidR="00587563" w:rsidTr="00587563">
        <w:tc>
          <w:tcPr>
            <w:tcW w:w="9229" w:type="dxa"/>
            <w:gridSpan w:val="2"/>
          </w:tcPr>
          <w:p w:rsidR="00587563" w:rsidRDefault="00587563" w:rsidP="00587563"/>
        </w:tc>
      </w:tr>
      <w:tr w:rsidR="00587563" w:rsidTr="00587563">
        <w:tc>
          <w:tcPr>
            <w:tcW w:w="1795" w:type="dxa"/>
          </w:tcPr>
          <w:p w:rsidR="00587563" w:rsidRDefault="00587563" w:rsidP="00587563">
            <w:pPr>
              <w:jc w:val="center"/>
            </w:pPr>
            <w:r>
              <w:t>Date Submitted/</w:t>
            </w:r>
          </w:p>
          <w:p w:rsidR="00587563" w:rsidRDefault="00587563" w:rsidP="00587563">
            <w:pPr>
              <w:jc w:val="center"/>
            </w:pPr>
            <w:r>
              <w:t>Question</w:t>
            </w:r>
          </w:p>
        </w:tc>
        <w:tc>
          <w:tcPr>
            <w:tcW w:w="7434" w:type="dxa"/>
          </w:tcPr>
          <w:p w:rsidR="00587563" w:rsidRDefault="00587563" w:rsidP="00587563">
            <w:r>
              <w:t>4/27/2022</w:t>
            </w:r>
          </w:p>
          <w:p w:rsidR="00587563" w:rsidRDefault="00587563" w:rsidP="00E51E5E">
            <w:r w:rsidRPr="00B72C33">
              <w:t xml:space="preserve">Will BPA Power Account Executives communicate to their </w:t>
            </w:r>
            <w:r w:rsidR="00E51E5E" w:rsidRPr="00B72C33">
              <w:t>customer</w:t>
            </w:r>
            <w:r w:rsidRPr="00B72C33">
              <w:t xml:space="preserve">’s </w:t>
            </w:r>
            <w:r w:rsidR="00E51E5E" w:rsidRPr="00B72C33">
              <w:t>that they have an</w:t>
            </w:r>
            <w:r w:rsidR="00B72C33" w:rsidRPr="00B72C33">
              <w:t xml:space="preserve"> opportunity to exercise their p</w:t>
            </w:r>
            <w:r w:rsidR="00E51E5E" w:rsidRPr="00B72C33">
              <w:t>reference rights, if, after the RFO closes, a preference iteration is necessary?</w:t>
            </w:r>
          </w:p>
        </w:tc>
      </w:tr>
      <w:tr w:rsidR="00587563" w:rsidTr="00587563">
        <w:tc>
          <w:tcPr>
            <w:tcW w:w="1795" w:type="dxa"/>
          </w:tcPr>
          <w:p w:rsidR="00587563" w:rsidRDefault="00587563" w:rsidP="00587563">
            <w:pPr>
              <w:jc w:val="center"/>
            </w:pPr>
            <w:r>
              <w:t>BPA’s Response</w:t>
            </w:r>
          </w:p>
          <w:p w:rsidR="00587563" w:rsidRDefault="00587563" w:rsidP="00587563">
            <w:pPr>
              <w:jc w:val="center"/>
            </w:pPr>
          </w:p>
        </w:tc>
        <w:tc>
          <w:tcPr>
            <w:tcW w:w="7434" w:type="dxa"/>
          </w:tcPr>
          <w:p w:rsidR="00587563" w:rsidRDefault="00B72C33" w:rsidP="00E51E5E">
            <w:r>
              <w:t xml:space="preserve">Yes. Preference </w:t>
            </w:r>
            <w:r w:rsidRPr="00B72C33">
              <w:t>C</w:t>
            </w:r>
            <w:r w:rsidR="00587563" w:rsidRPr="00B72C33">
              <w:t xml:space="preserve">ustomers does not need to bid in order to exercise their preference rights. BPA Power AEs will communicate to all of their </w:t>
            </w:r>
            <w:r w:rsidR="00E51E5E" w:rsidRPr="00B72C33">
              <w:t>customer</w:t>
            </w:r>
            <w:r w:rsidR="00587563" w:rsidRPr="00B72C33">
              <w:t>s</w:t>
            </w:r>
            <w:r w:rsidR="00E51E5E" w:rsidRPr="00B72C33">
              <w:t xml:space="preserve"> if there is an</w:t>
            </w:r>
            <w:r w:rsidRPr="00B72C33">
              <w:t xml:space="preserve"> opportunity to exercise their p</w:t>
            </w:r>
            <w:r w:rsidR="00E51E5E" w:rsidRPr="00B72C33">
              <w:t>reference rights.</w:t>
            </w:r>
          </w:p>
        </w:tc>
      </w:tr>
      <w:tr w:rsidR="00587563" w:rsidTr="00587563">
        <w:tc>
          <w:tcPr>
            <w:tcW w:w="9229" w:type="dxa"/>
            <w:gridSpan w:val="2"/>
          </w:tcPr>
          <w:p w:rsidR="00587563" w:rsidRDefault="00587563" w:rsidP="00587563"/>
        </w:tc>
      </w:tr>
      <w:tr w:rsidR="00587563" w:rsidTr="00587563">
        <w:tc>
          <w:tcPr>
            <w:tcW w:w="1795" w:type="dxa"/>
          </w:tcPr>
          <w:p w:rsidR="00587563" w:rsidRDefault="00587563" w:rsidP="00587563">
            <w:pPr>
              <w:jc w:val="center"/>
            </w:pPr>
            <w:r>
              <w:t>Date Submitted/</w:t>
            </w:r>
          </w:p>
          <w:p w:rsidR="00587563" w:rsidRDefault="00587563" w:rsidP="00587563">
            <w:pPr>
              <w:jc w:val="center"/>
            </w:pPr>
            <w:r>
              <w:t>Question</w:t>
            </w:r>
          </w:p>
        </w:tc>
        <w:tc>
          <w:tcPr>
            <w:tcW w:w="7434" w:type="dxa"/>
          </w:tcPr>
          <w:p w:rsidR="00587563" w:rsidRDefault="00587563" w:rsidP="00587563">
            <w:r>
              <w:t>4/27/2022</w:t>
            </w:r>
          </w:p>
          <w:p w:rsidR="00587563" w:rsidRDefault="00587563" w:rsidP="006165EC">
            <w:r>
              <w:t>How will BPA handle the following scenarios? An entity wit</w:t>
            </w:r>
            <w:r w:rsidR="006165EC">
              <w:t xml:space="preserve">h no preference rights submits </w:t>
            </w:r>
            <w:r w:rsidR="006165EC" w:rsidRPr="00B72C33">
              <w:t>the highest value</w:t>
            </w:r>
            <w:r w:rsidRPr="00B72C33">
              <w:t xml:space="preserve"> bid for 50 MW. A </w:t>
            </w:r>
            <w:r w:rsidR="00AE4C3F" w:rsidRPr="00B72C33">
              <w:t>Preference C</w:t>
            </w:r>
            <w:r w:rsidRPr="00B72C33">
              <w:t>ustomer submits a bid with 5 MW</w:t>
            </w:r>
            <w:r w:rsidR="006165EC" w:rsidRPr="00B72C33">
              <w:t xml:space="preserve"> that is the same value or higher</w:t>
            </w:r>
            <w:r w:rsidRPr="00B72C33">
              <w:t>.</w:t>
            </w:r>
            <w:r w:rsidR="00AE4C3F" w:rsidRPr="00B72C33">
              <w:t xml:space="preserve"> Would BPA grant the 5 MW to the Preference Customer</w:t>
            </w:r>
            <w:r w:rsidRPr="00B72C33">
              <w:t xml:space="preserve"> then the remaining to the </w:t>
            </w:r>
            <w:r w:rsidR="006165EC" w:rsidRPr="00B72C33">
              <w:t>non-preference</w:t>
            </w:r>
            <w:r w:rsidRPr="00B72C33">
              <w:t xml:space="preserve"> entity?</w:t>
            </w:r>
          </w:p>
        </w:tc>
      </w:tr>
      <w:tr w:rsidR="00587563" w:rsidTr="00587563">
        <w:tc>
          <w:tcPr>
            <w:tcW w:w="1795" w:type="dxa"/>
          </w:tcPr>
          <w:p w:rsidR="00587563" w:rsidRDefault="00587563" w:rsidP="00587563">
            <w:pPr>
              <w:jc w:val="center"/>
            </w:pPr>
            <w:r>
              <w:t>BPA’s Response</w:t>
            </w:r>
          </w:p>
          <w:p w:rsidR="00587563" w:rsidRDefault="00587563" w:rsidP="00587563">
            <w:pPr>
              <w:jc w:val="center"/>
            </w:pPr>
          </w:p>
        </w:tc>
        <w:tc>
          <w:tcPr>
            <w:tcW w:w="7434" w:type="dxa"/>
          </w:tcPr>
          <w:p w:rsidR="00587563" w:rsidRDefault="00587563" w:rsidP="00587563">
            <w:r>
              <w:t>BPA would circle back with the outside entity to determine if they would accept a 45 MW award. In any case, the PF customer would be awarded the 5 MW.</w:t>
            </w:r>
          </w:p>
        </w:tc>
      </w:tr>
      <w:tr w:rsidR="00587563" w:rsidTr="00587563">
        <w:tc>
          <w:tcPr>
            <w:tcW w:w="9229" w:type="dxa"/>
            <w:gridSpan w:val="2"/>
          </w:tcPr>
          <w:p w:rsidR="00587563" w:rsidRDefault="00587563" w:rsidP="00587563"/>
        </w:tc>
      </w:tr>
      <w:tr w:rsidR="00587563" w:rsidTr="00587563">
        <w:tc>
          <w:tcPr>
            <w:tcW w:w="1795" w:type="dxa"/>
          </w:tcPr>
          <w:p w:rsidR="00587563" w:rsidRDefault="00587563" w:rsidP="00587563">
            <w:pPr>
              <w:jc w:val="center"/>
            </w:pPr>
            <w:r>
              <w:t>Date Submitted/</w:t>
            </w:r>
          </w:p>
          <w:p w:rsidR="00587563" w:rsidRDefault="00587563" w:rsidP="00587563">
            <w:pPr>
              <w:jc w:val="center"/>
            </w:pPr>
            <w:r>
              <w:t>Question</w:t>
            </w:r>
          </w:p>
        </w:tc>
        <w:tc>
          <w:tcPr>
            <w:tcW w:w="7434" w:type="dxa"/>
          </w:tcPr>
          <w:p w:rsidR="00587563" w:rsidRDefault="00587563" w:rsidP="00587563">
            <w:r>
              <w:t>4/27/2022</w:t>
            </w:r>
          </w:p>
          <w:p w:rsidR="00587563" w:rsidRDefault="00587563" w:rsidP="00587563">
            <w:r>
              <w:t>How will BPA evaluate each bid?</w:t>
            </w:r>
          </w:p>
        </w:tc>
      </w:tr>
      <w:tr w:rsidR="00587563" w:rsidTr="00587563">
        <w:tc>
          <w:tcPr>
            <w:tcW w:w="1795" w:type="dxa"/>
          </w:tcPr>
          <w:p w:rsidR="00587563" w:rsidRDefault="00587563" w:rsidP="00587563">
            <w:pPr>
              <w:jc w:val="center"/>
            </w:pPr>
            <w:r>
              <w:t>BPA’s Response</w:t>
            </w:r>
          </w:p>
          <w:p w:rsidR="00587563" w:rsidRDefault="00587563" w:rsidP="00587563">
            <w:pPr>
              <w:jc w:val="center"/>
            </w:pPr>
          </w:p>
        </w:tc>
        <w:tc>
          <w:tcPr>
            <w:tcW w:w="7434" w:type="dxa"/>
          </w:tcPr>
          <w:p w:rsidR="00587563" w:rsidRDefault="00587563" w:rsidP="00587563">
            <w:r>
              <w:t xml:space="preserve">BPA will establish a minimum acceptable bid necessary to recover </w:t>
            </w:r>
            <w:proofErr w:type="spellStart"/>
            <w:proofErr w:type="gramStart"/>
            <w:r>
              <w:t>it’s</w:t>
            </w:r>
            <w:proofErr w:type="spellEnd"/>
            <w:proofErr w:type="gramEnd"/>
            <w:r>
              <w:t xml:space="preserve"> cost. Next BPA will determine the highest value bid for the products in the RFO.</w:t>
            </w:r>
          </w:p>
        </w:tc>
      </w:tr>
      <w:tr w:rsidR="00587563" w:rsidTr="00587563">
        <w:tc>
          <w:tcPr>
            <w:tcW w:w="9229" w:type="dxa"/>
            <w:gridSpan w:val="2"/>
          </w:tcPr>
          <w:p w:rsidR="00587563" w:rsidRDefault="00587563" w:rsidP="00587563"/>
        </w:tc>
      </w:tr>
      <w:tr w:rsidR="00587563" w:rsidTr="00587563">
        <w:tc>
          <w:tcPr>
            <w:tcW w:w="1795" w:type="dxa"/>
          </w:tcPr>
          <w:p w:rsidR="00587563" w:rsidRDefault="00587563" w:rsidP="00587563">
            <w:pPr>
              <w:jc w:val="center"/>
            </w:pPr>
            <w:r>
              <w:t>Date Submitted/</w:t>
            </w:r>
          </w:p>
          <w:p w:rsidR="00587563" w:rsidRDefault="00587563" w:rsidP="00587563">
            <w:pPr>
              <w:jc w:val="center"/>
            </w:pPr>
            <w:r>
              <w:t>Question</w:t>
            </w:r>
          </w:p>
        </w:tc>
        <w:tc>
          <w:tcPr>
            <w:tcW w:w="7434" w:type="dxa"/>
          </w:tcPr>
          <w:p w:rsidR="00587563" w:rsidRDefault="00587563" w:rsidP="00587563">
            <w:r>
              <w:t>4/27/2022</w:t>
            </w:r>
          </w:p>
          <w:p w:rsidR="00587563" w:rsidRDefault="00587563" w:rsidP="00587563">
            <w:r>
              <w:t>Will there be a delineation between a network integration customer vs point-to-point customer?</w:t>
            </w:r>
          </w:p>
        </w:tc>
      </w:tr>
      <w:tr w:rsidR="00587563" w:rsidTr="00587563">
        <w:tc>
          <w:tcPr>
            <w:tcW w:w="1795" w:type="dxa"/>
          </w:tcPr>
          <w:p w:rsidR="00587563" w:rsidRDefault="00587563" w:rsidP="00587563">
            <w:pPr>
              <w:jc w:val="center"/>
            </w:pPr>
            <w:r>
              <w:t>BPA’s Response</w:t>
            </w:r>
          </w:p>
          <w:p w:rsidR="00587563" w:rsidRDefault="00587563" w:rsidP="00587563">
            <w:pPr>
              <w:jc w:val="center"/>
            </w:pPr>
          </w:p>
        </w:tc>
        <w:tc>
          <w:tcPr>
            <w:tcW w:w="7434" w:type="dxa"/>
          </w:tcPr>
          <w:p w:rsidR="00587563" w:rsidRDefault="00587563" w:rsidP="00587563">
            <w:r>
              <w:t xml:space="preserve">BPA will consider its transmission cost when evaluating awards. Different points of delivery may affect </w:t>
            </w:r>
            <w:r w:rsidR="00E924B3" w:rsidRPr="00B72C33">
              <w:t xml:space="preserve">the net value of the </w:t>
            </w:r>
            <w:r w:rsidR="00B72C33">
              <w:t>bid</w:t>
            </w:r>
            <w:r w:rsidRPr="00B72C33">
              <w:t xml:space="preserve"> to BPA.</w:t>
            </w:r>
          </w:p>
        </w:tc>
      </w:tr>
      <w:tr w:rsidR="00587563" w:rsidTr="00587563">
        <w:tc>
          <w:tcPr>
            <w:tcW w:w="9229" w:type="dxa"/>
            <w:gridSpan w:val="2"/>
          </w:tcPr>
          <w:p w:rsidR="00587563" w:rsidRDefault="00587563" w:rsidP="00587563"/>
        </w:tc>
      </w:tr>
      <w:tr w:rsidR="00587563" w:rsidTr="00587563">
        <w:tc>
          <w:tcPr>
            <w:tcW w:w="1795" w:type="dxa"/>
          </w:tcPr>
          <w:p w:rsidR="00587563" w:rsidRPr="00FC041E" w:rsidRDefault="00587563" w:rsidP="00587563">
            <w:pPr>
              <w:jc w:val="center"/>
            </w:pPr>
            <w:r w:rsidRPr="00FC041E">
              <w:t>Date Submitted/</w:t>
            </w:r>
          </w:p>
          <w:p w:rsidR="00587563" w:rsidRPr="00FC041E" w:rsidRDefault="00587563" w:rsidP="00587563">
            <w:pPr>
              <w:jc w:val="center"/>
            </w:pPr>
            <w:r w:rsidRPr="00FC041E">
              <w:t>Question</w:t>
            </w:r>
          </w:p>
        </w:tc>
        <w:tc>
          <w:tcPr>
            <w:tcW w:w="7434" w:type="dxa"/>
          </w:tcPr>
          <w:p w:rsidR="00587563" w:rsidRPr="00FC041E" w:rsidRDefault="00587563" w:rsidP="00587563">
            <w:r w:rsidRPr="00FC041E">
              <w:t>4/26/2021</w:t>
            </w:r>
          </w:p>
          <w:p w:rsidR="00587563" w:rsidRPr="00FC041E" w:rsidRDefault="00587563" w:rsidP="00587563">
            <w:r w:rsidRPr="00FC041E">
              <w:lastRenderedPageBreak/>
              <w:t xml:space="preserve">Will bids for individual months be considered compliant with the RFO requirements? </w:t>
            </w:r>
          </w:p>
        </w:tc>
      </w:tr>
      <w:tr w:rsidR="00587563" w:rsidTr="00587563">
        <w:tc>
          <w:tcPr>
            <w:tcW w:w="1795" w:type="dxa"/>
          </w:tcPr>
          <w:p w:rsidR="00587563" w:rsidRPr="00FC041E" w:rsidRDefault="00587563" w:rsidP="00587563">
            <w:pPr>
              <w:jc w:val="center"/>
            </w:pPr>
            <w:r w:rsidRPr="00FC041E">
              <w:lastRenderedPageBreak/>
              <w:t>BPA’s Response</w:t>
            </w:r>
          </w:p>
          <w:p w:rsidR="00587563" w:rsidRPr="00FC041E" w:rsidRDefault="00587563" w:rsidP="00587563">
            <w:pPr>
              <w:jc w:val="center"/>
            </w:pPr>
          </w:p>
        </w:tc>
        <w:tc>
          <w:tcPr>
            <w:tcW w:w="7434" w:type="dxa"/>
          </w:tcPr>
          <w:p w:rsidR="00587563" w:rsidRPr="00FC041E" w:rsidRDefault="00587563" w:rsidP="00587563">
            <w:r w:rsidRPr="00FC041E">
              <w:t>Yes.  Bidders may sub</w:t>
            </w:r>
            <w:r>
              <w:t>mit a bid for a single month so</w:t>
            </w:r>
            <w:r w:rsidRPr="00FC041E">
              <w:t xml:space="preserve"> long as the month is with the block of months offered.</w:t>
            </w:r>
          </w:p>
        </w:tc>
      </w:tr>
      <w:tr w:rsidR="00587563" w:rsidTr="00587563">
        <w:tc>
          <w:tcPr>
            <w:tcW w:w="9229" w:type="dxa"/>
            <w:gridSpan w:val="2"/>
          </w:tcPr>
          <w:p w:rsidR="00587563" w:rsidRPr="00FC041E" w:rsidRDefault="00587563" w:rsidP="00587563"/>
        </w:tc>
      </w:tr>
      <w:tr w:rsidR="00587563" w:rsidTr="00587563">
        <w:tc>
          <w:tcPr>
            <w:tcW w:w="1795" w:type="dxa"/>
          </w:tcPr>
          <w:p w:rsidR="00587563" w:rsidRPr="00076352" w:rsidRDefault="00587563" w:rsidP="00587563">
            <w:pPr>
              <w:jc w:val="center"/>
            </w:pPr>
            <w:r w:rsidRPr="00076352">
              <w:t>Date Submitted/</w:t>
            </w:r>
          </w:p>
          <w:p w:rsidR="00587563" w:rsidRPr="00076352" w:rsidRDefault="00587563" w:rsidP="00587563">
            <w:pPr>
              <w:jc w:val="center"/>
            </w:pPr>
            <w:r w:rsidRPr="00076352">
              <w:t>Question</w:t>
            </w:r>
          </w:p>
        </w:tc>
        <w:tc>
          <w:tcPr>
            <w:tcW w:w="7434" w:type="dxa"/>
          </w:tcPr>
          <w:p w:rsidR="00587563" w:rsidRPr="00076352" w:rsidRDefault="00587563" w:rsidP="00587563">
            <w:r w:rsidRPr="00076352">
              <w:t>4/27/2022</w:t>
            </w:r>
          </w:p>
          <w:p w:rsidR="00587563" w:rsidRPr="00076352" w:rsidRDefault="00587563" w:rsidP="00587563">
            <w:r w:rsidRPr="00076352">
              <w:t>Can acting agents submit bids on behalf of another entity that is a Preference Customer?</w:t>
            </w:r>
          </w:p>
        </w:tc>
      </w:tr>
      <w:tr w:rsidR="00587563" w:rsidTr="00587563">
        <w:tc>
          <w:tcPr>
            <w:tcW w:w="1795" w:type="dxa"/>
          </w:tcPr>
          <w:p w:rsidR="00587563" w:rsidRPr="00076352" w:rsidRDefault="00587563" w:rsidP="00587563">
            <w:pPr>
              <w:jc w:val="center"/>
            </w:pPr>
            <w:r w:rsidRPr="00076352">
              <w:t>BPA’s Response</w:t>
            </w:r>
          </w:p>
          <w:p w:rsidR="00587563" w:rsidRPr="00076352" w:rsidRDefault="00587563" w:rsidP="00587563">
            <w:pPr>
              <w:jc w:val="center"/>
            </w:pPr>
          </w:p>
        </w:tc>
        <w:tc>
          <w:tcPr>
            <w:tcW w:w="7434" w:type="dxa"/>
          </w:tcPr>
          <w:p w:rsidR="00587563" w:rsidRPr="00076352" w:rsidRDefault="00587563" w:rsidP="00587563">
            <w:r w:rsidRPr="00076352">
              <w:t>Agents can submit bids on behalf of the Preference Customers; however, the final award and contract will be with the Preference Customer.</w:t>
            </w:r>
          </w:p>
        </w:tc>
      </w:tr>
      <w:tr w:rsidR="0028753C" w:rsidTr="005A090F">
        <w:tc>
          <w:tcPr>
            <w:tcW w:w="9229" w:type="dxa"/>
            <w:gridSpan w:val="2"/>
          </w:tcPr>
          <w:p w:rsidR="0028753C" w:rsidRPr="00FC041E" w:rsidRDefault="0028753C" w:rsidP="00587563"/>
        </w:tc>
      </w:tr>
      <w:tr w:rsidR="00AE4C3F" w:rsidTr="00587563">
        <w:tc>
          <w:tcPr>
            <w:tcW w:w="1795" w:type="dxa"/>
          </w:tcPr>
          <w:p w:rsidR="00AE4C3F" w:rsidRPr="00FC041E" w:rsidRDefault="00AE4C3F" w:rsidP="00AE4C3F">
            <w:pPr>
              <w:jc w:val="center"/>
            </w:pPr>
            <w:r w:rsidRPr="00FC041E">
              <w:t>Date Submitted/</w:t>
            </w:r>
          </w:p>
          <w:p w:rsidR="00AE4C3F" w:rsidRPr="00FC041E" w:rsidRDefault="00AE4C3F" w:rsidP="00AE4C3F">
            <w:pPr>
              <w:jc w:val="center"/>
            </w:pPr>
            <w:r w:rsidRPr="00FC041E">
              <w:t>Question</w:t>
            </w:r>
          </w:p>
        </w:tc>
        <w:tc>
          <w:tcPr>
            <w:tcW w:w="7434" w:type="dxa"/>
          </w:tcPr>
          <w:p w:rsidR="00AE4C3F" w:rsidRPr="00FC041E" w:rsidRDefault="00AE4C3F" w:rsidP="00AE4C3F">
            <w:r w:rsidRPr="00FC041E">
              <w:t>4/29/2022</w:t>
            </w:r>
          </w:p>
          <w:p w:rsidR="00AE4C3F" w:rsidRPr="00FC041E" w:rsidRDefault="00AE4C3F" w:rsidP="00AE4C3F">
            <w:r w:rsidRPr="00FC041E">
              <w:t>After an entity has submitted a bid will it have the opportunity to submit a refresh bit so long as it’s before the close of the RFO?</w:t>
            </w:r>
          </w:p>
        </w:tc>
      </w:tr>
      <w:tr w:rsidR="00AE4C3F" w:rsidTr="00587563">
        <w:tc>
          <w:tcPr>
            <w:tcW w:w="1795" w:type="dxa"/>
          </w:tcPr>
          <w:p w:rsidR="00AE4C3F" w:rsidRPr="00FC041E" w:rsidRDefault="00AE4C3F" w:rsidP="00AE4C3F">
            <w:pPr>
              <w:jc w:val="center"/>
            </w:pPr>
            <w:r w:rsidRPr="00FC041E">
              <w:t>BPA’s Response</w:t>
            </w:r>
          </w:p>
          <w:p w:rsidR="00AE4C3F" w:rsidRPr="00FC041E" w:rsidRDefault="00AE4C3F" w:rsidP="00AE4C3F">
            <w:pPr>
              <w:jc w:val="center"/>
            </w:pPr>
          </w:p>
        </w:tc>
        <w:tc>
          <w:tcPr>
            <w:tcW w:w="7434" w:type="dxa"/>
          </w:tcPr>
          <w:p w:rsidR="00AE4C3F" w:rsidRPr="00FC041E" w:rsidRDefault="00AE4C3F" w:rsidP="00B72C33">
            <w:r w:rsidRPr="00FC041E">
              <w:t>BPA will accept refreshed bids.</w:t>
            </w:r>
            <w:r w:rsidR="00E924B3">
              <w:t xml:space="preserve">   </w:t>
            </w:r>
          </w:p>
        </w:tc>
      </w:tr>
      <w:tr w:rsidR="00613C5B" w:rsidTr="00577A3E">
        <w:tc>
          <w:tcPr>
            <w:tcW w:w="9229" w:type="dxa"/>
            <w:gridSpan w:val="2"/>
          </w:tcPr>
          <w:p w:rsidR="00613C5B" w:rsidRPr="00FC041E" w:rsidRDefault="00613C5B" w:rsidP="00AE4C3F"/>
        </w:tc>
      </w:tr>
      <w:tr w:rsidR="00613C5B" w:rsidTr="00587563">
        <w:tc>
          <w:tcPr>
            <w:tcW w:w="1795" w:type="dxa"/>
          </w:tcPr>
          <w:p w:rsidR="00613C5B" w:rsidRDefault="00613C5B" w:rsidP="00613C5B">
            <w:pPr>
              <w:jc w:val="center"/>
            </w:pPr>
            <w:r>
              <w:t>Date Submitted/</w:t>
            </w:r>
          </w:p>
          <w:p w:rsidR="00613C5B" w:rsidRDefault="00613C5B" w:rsidP="00613C5B">
            <w:pPr>
              <w:jc w:val="center"/>
            </w:pPr>
            <w:r>
              <w:t>Question</w:t>
            </w:r>
          </w:p>
        </w:tc>
        <w:tc>
          <w:tcPr>
            <w:tcW w:w="7434" w:type="dxa"/>
          </w:tcPr>
          <w:p w:rsidR="00613C5B" w:rsidRDefault="00417671" w:rsidP="00613C5B">
            <w:r>
              <w:t>4/29/2022</w:t>
            </w:r>
          </w:p>
          <w:p w:rsidR="00417671" w:rsidRDefault="00417671" w:rsidP="00613C5B">
            <w:r>
              <w:t>Can you confirm that all bids will be “blind” when being offered for the first right of refusal process?</w:t>
            </w:r>
          </w:p>
        </w:tc>
      </w:tr>
      <w:tr w:rsidR="00613C5B" w:rsidTr="00587563">
        <w:tc>
          <w:tcPr>
            <w:tcW w:w="1795" w:type="dxa"/>
          </w:tcPr>
          <w:p w:rsidR="00613C5B" w:rsidRPr="00417671" w:rsidRDefault="00613C5B" w:rsidP="00613C5B">
            <w:pPr>
              <w:jc w:val="center"/>
            </w:pPr>
            <w:r w:rsidRPr="00417671">
              <w:t>BPA’s Response</w:t>
            </w:r>
          </w:p>
          <w:p w:rsidR="00613C5B" w:rsidRPr="00417671" w:rsidRDefault="00613C5B" w:rsidP="00613C5B">
            <w:pPr>
              <w:jc w:val="center"/>
            </w:pPr>
          </w:p>
        </w:tc>
        <w:tc>
          <w:tcPr>
            <w:tcW w:w="7434" w:type="dxa"/>
          </w:tcPr>
          <w:p w:rsidR="00613C5B" w:rsidRPr="00417671" w:rsidRDefault="00417671" w:rsidP="00613C5B">
            <w:r w:rsidRPr="00417671">
              <w:t>Yes, bidders will be anonymous to each other.</w:t>
            </w:r>
          </w:p>
        </w:tc>
      </w:tr>
      <w:tr w:rsidR="0028753C" w:rsidTr="007A0F96">
        <w:tc>
          <w:tcPr>
            <w:tcW w:w="9229" w:type="dxa"/>
            <w:gridSpan w:val="2"/>
          </w:tcPr>
          <w:p w:rsidR="0028753C" w:rsidRPr="00FC041E" w:rsidRDefault="0028753C" w:rsidP="00613C5B"/>
        </w:tc>
      </w:tr>
      <w:tr w:rsidR="00613C5B" w:rsidTr="00587563">
        <w:tc>
          <w:tcPr>
            <w:tcW w:w="1795" w:type="dxa"/>
          </w:tcPr>
          <w:p w:rsidR="00613C5B" w:rsidRDefault="00613C5B" w:rsidP="00613C5B">
            <w:pPr>
              <w:jc w:val="center"/>
            </w:pPr>
            <w:r>
              <w:t>Date Submitted/</w:t>
            </w:r>
          </w:p>
          <w:p w:rsidR="00613C5B" w:rsidRDefault="00613C5B" w:rsidP="00613C5B">
            <w:pPr>
              <w:jc w:val="center"/>
            </w:pPr>
            <w:r>
              <w:t>Question</w:t>
            </w:r>
          </w:p>
        </w:tc>
        <w:tc>
          <w:tcPr>
            <w:tcW w:w="7434" w:type="dxa"/>
          </w:tcPr>
          <w:p w:rsidR="00613C5B" w:rsidRDefault="00417671" w:rsidP="00613C5B">
            <w:r>
              <w:t>5/3/2022</w:t>
            </w:r>
          </w:p>
          <w:p w:rsidR="00417671" w:rsidRDefault="00417671" w:rsidP="00613C5B">
            <w:r>
              <w:t>When the NW utilities are offered a right of first refusal look at a higher valued bid, can they match any months in the offer or just the complete offer?</w:t>
            </w:r>
          </w:p>
        </w:tc>
      </w:tr>
      <w:tr w:rsidR="00613C5B" w:rsidTr="00587563">
        <w:tc>
          <w:tcPr>
            <w:tcW w:w="1795" w:type="dxa"/>
          </w:tcPr>
          <w:p w:rsidR="00613C5B" w:rsidRDefault="00613C5B" w:rsidP="00613C5B">
            <w:pPr>
              <w:jc w:val="center"/>
            </w:pPr>
            <w:r>
              <w:t>BPA’s Response</w:t>
            </w:r>
          </w:p>
          <w:p w:rsidR="00613C5B" w:rsidRDefault="00613C5B" w:rsidP="00613C5B">
            <w:pPr>
              <w:jc w:val="center"/>
            </w:pPr>
          </w:p>
        </w:tc>
        <w:tc>
          <w:tcPr>
            <w:tcW w:w="7434" w:type="dxa"/>
          </w:tcPr>
          <w:p w:rsidR="00613C5B" w:rsidRDefault="00417671" w:rsidP="0090137A">
            <w:r w:rsidRPr="00417671">
              <w:t>To match the</w:t>
            </w:r>
            <w:r w:rsidR="0090137A">
              <w:t xml:space="preserve"> value of a bid the bidder </w:t>
            </w:r>
            <w:r w:rsidRPr="00417671">
              <w:t>will need to take the entire term (all the months) of the other bid.</w:t>
            </w:r>
          </w:p>
        </w:tc>
      </w:tr>
      <w:tr w:rsidR="0028753C" w:rsidTr="0055246E">
        <w:tc>
          <w:tcPr>
            <w:tcW w:w="9229" w:type="dxa"/>
            <w:gridSpan w:val="2"/>
          </w:tcPr>
          <w:p w:rsidR="0028753C" w:rsidRPr="00FC041E" w:rsidRDefault="0028753C" w:rsidP="00613C5B"/>
        </w:tc>
      </w:tr>
      <w:tr w:rsidR="00613C5B" w:rsidTr="00587563">
        <w:tc>
          <w:tcPr>
            <w:tcW w:w="1795" w:type="dxa"/>
          </w:tcPr>
          <w:p w:rsidR="00613C5B" w:rsidRDefault="00613C5B" w:rsidP="00613C5B">
            <w:pPr>
              <w:jc w:val="center"/>
            </w:pPr>
            <w:r>
              <w:t>Date Submitted/</w:t>
            </w:r>
          </w:p>
          <w:p w:rsidR="00613C5B" w:rsidRDefault="00613C5B" w:rsidP="00613C5B">
            <w:pPr>
              <w:jc w:val="center"/>
            </w:pPr>
            <w:r>
              <w:t>Question</w:t>
            </w:r>
          </w:p>
        </w:tc>
        <w:tc>
          <w:tcPr>
            <w:tcW w:w="7434" w:type="dxa"/>
          </w:tcPr>
          <w:p w:rsidR="00613C5B" w:rsidRDefault="0028753C" w:rsidP="00613C5B">
            <w:r>
              <w:t>5/2/2022</w:t>
            </w:r>
          </w:p>
          <w:p w:rsidR="0028753C" w:rsidRDefault="0028753C" w:rsidP="00613C5B">
            <w:r w:rsidRPr="0028753C">
              <w:t xml:space="preserve">Is it correct that </w:t>
            </w:r>
            <w:r w:rsidRPr="00B72C33">
              <w:t>if a non-</w:t>
            </w:r>
            <w:r w:rsidR="007379FA" w:rsidRPr="00B72C33">
              <w:t xml:space="preserve">public </w:t>
            </w:r>
            <w:r w:rsidR="00B72C33" w:rsidRPr="00B72C33">
              <w:t>Preference</w:t>
            </w:r>
            <w:r w:rsidR="00B72C33">
              <w:t xml:space="preserve"> C</w:t>
            </w:r>
            <w:r w:rsidRPr="0028753C">
              <w:t xml:space="preserve">ustomer (IOU, CA </w:t>
            </w:r>
            <w:r>
              <w:t xml:space="preserve">entity, etc.) wins the bid </w:t>
            </w:r>
            <w:r w:rsidRPr="0028753C">
              <w:t>BPA would be notifying all Slice customers to provide an opportunity to take the same terms as the winning bid regardless of if the Slice customer had put in an initial bid?</w:t>
            </w:r>
          </w:p>
        </w:tc>
      </w:tr>
      <w:tr w:rsidR="00613C5B" w:rsidTr="00587563">
        <w:tc>
          <w:tcPr>
            <w:tcW w:w="1795" w:type="dxa"/>
          </w:tcPr>
          <w:p w:rsidR="00613C5B" w:rsidRDefault="00613C5B" w:rsidP="00613C5B">
            <w:pPr>
              <w:jc w:val="center"/>
            </w:pPr>
            <w:r>
              <w:t>BPA’s Response</w:t>
            </w:r>
          </w:p>
          <w:p w:rsidR="00613C5B" w:rsidRDefault="00613C5B" w:rsidP="00613C5B">
            <w:pPr>
              <w:jc w:val="center"/>
            </w:pPr>
          </w:p>
        </w:tc>
        <w:tc>
          <w:tcPr>
            <w:tcW w:w="7434" w:type="dxa"/>
          </w:tcPr>
          <w:p w:rsidR="00613C5B" w:rsidRDefault="0028753C" w:rsidP="00613C5B">
            <w:r>
              <w:t>Correct.</w:t>
            </w:r>
          </w:p>
        </w:tc>
      </w:tr>
      <w:tr w:rsidR="0028753C" w:rsidTr="00C8484B">
        <w:tc>
          <w:tcPr>
            <w:tcW w:w="9229" w:type="dxa"/>
            <w:gridSpan w:val="2"/>
          </w:tcPr>
          <w:p w:rsidR="0028753C" w:rsidRPr="00FC041E" w:rsidRDefault="0028753C" w:rsidP="00613C5B"/>
        </w:tc>
      </w:tr>
      <w:tr w:rsidR="00613C5B" w:rsidTr="00587563">
        <w:tc>
          <w:tcPr>
            <w:tcW w:w="1795" w:type="dxa"/>
          </w:tcPr>
          <w:p w:rsidR="00613C5B" w:rsidRDefault="00613C5B" w:rsidP="00613C5B">
            <w:pPr>
              <w:jc w:val="center"/>
            </w:pPr>
            <w:r>
              <w:t>Date Submitted/</w:t>
            </w:r>
          </w:p>
          <w:p w:rsidR="00613C5B" w:rsidRDefault="00613C5B" w:rsidP="00613C5B">
            <w:pPr>
              <w:jc w:val="center"/>
            </w:pPr>
            <w:r>
              <w:t>Question</w:t>
            </w:r>
          </w:p>
        </w:tc>
        <w:tc>
          <w:tcPr>
            <w:tcW w:w="7434" w:type="dxa"/>
          </w:tcPr>
          <w:p w:rsidR="00613C5B" w:rsidRDefault="0028753C" w:rsidP="00613C5B">
            <w:r>
              <w:t>5/2/2022</w:t>
            </w:r>
          </w:p>
          <w:p w:rsidR="0028753C" w:rsidRDefault="00B72C33" w:rsidP="00613C5B">
            <w:r>
              <w:t>If a P</w:t>
            </w:r>
            <w:r w:rsidR="0028753C" w:rsidRPr="0028753C">
              <w:t>refer</w:t>
            </w:r>
            <w:r>
              <w:t>ence C</w:t>
            </w:r>
            <w:r w:rsidR="00BC52AD">
              <w:t>ustomer won the bid, the award would</w:t>
            </w:r>
            <w:r w:rsidR="007379FA">
              <w:t xml:space="preserve"> </w:t>
            </w:r>
            <w:r w:rsidR="0028753C" w:rsidRPr="0028753C">
              <w:t>automatically</w:t>
            </w:r>
            <w:r>
              <w:t xml:space="preserve"> go to that customer and other Preference C</w:t>
            </w:r>
            <w:r w:rsidR="0028753C" w:rsidRPr="0028753C">
              <w:t>ustomers would not have the opportunity to have access to those terms?</w:t>
            </w:r>
          </w:p>
        </w:tc>
      </w:tr>
      <w:tr w:rsidR="00613C5B" w:rsidTr="00587563">
        <w:tc>
          <w:tcPr>
            <w:tcW w:w="1795" w:type="dxa"/>
          </w:tcPr>
          <w:p w:rsidR="00613C5B" w:rsidRDefault="00613C5B" w:rsidP="00613C5B">
            <w:pPr>
              <w:jc w:val="center"/>
            </w:pPr>
            <w:r>
              <w:t>BPA’s Response</w:t>
            </w:r>
          </w:p>
          <w:p w:rsidR="00613C5B" w:rsidRDefault="00613C5B" w:rsidP="00613C5B">
            <w:pPr>
              <w:jc w:val="center"/>
            </w:pPr>
          </w:p>
        </w:tc>
        <w:tc>
          <w:tcPr>
            <w:tcW w:w="7434" w:type="dxa"/>
          </w:tcPr>
          <w:p w:rsidR="00613C5B" w:rsidRDefault="00BC6886" w:rsidP="00613C5B">
            <w:r>
              <w:t>Correct.</w:t>
            </w:r>
          </w:p>
        </w:tc>
      </w:tr>
      <w:tr w:rsidR="0028753C" w:rsidTr="00FD120E">
        <w:tc>
          <w:tcPr>
            <w:tcW w:w="9229" w:type="dxa"/>
            <w:gridSpan w:val="2"/>
          </w:tcPr>
          <w:p w:rsidR="0028753C" w:rsidRPr="00FC041E" w:rsidRDefault="0028753C" w:rsidP="00613C5B"/>
        </w:tc>
      </w:tr>
      <w:tr w:rsidR="00613C5B" w:rsidTr="00587563">
        <w:tc>
          <w:tcPr>
            <w:tcW w:w="1795" w:type="dxa"/>
          </w:tcPr>
          <w:p w:rsidR="00613C5B" w:rsidRPr="00587563" w:rsidRDefault="00613C5B" w:rsidP="00613C5B">
            <w:pPr>
              <w:jc w:val="center"/>
            </w:pPr>
            <w:r w:rsidRPr="00587563">
              <w:t>Date Submitted/</w:t>
            </w:r>
          </w:p>
          <w:p w:rsidR="00613C5B" w:rsidRPr="00587563" w:rsidRDefault="00613C5B" w:rsidP="00613C5B">
            <w:pPr>
              <w:jc w:val="center"/>
            </w:pPr>
            <w:r w:rsidRPr="00587563">
              <w:t>Question</w:t>
            </w:r>
          </w:p>
        </w:tc>
        <w:tc>
          <w:tcPr>
            <w:tcW w:w="7434" w:type="dxa"/>
          </w:tcPr>
          <w:p w:rsidR="00613C5B" w:rsidRDefault="00BC6886" w:rsidP="00613C5B">
            <w:r>
              <w:t>5/3/2022</w:t>
            </w:r>
          </w:p>
          <w:p w:rsidR="00BC6886" w:rsidRPr="00587563" w:rsidRDefault="00BC6886" w:rsidP="00613C5B">
            <w:r>
              <w:t xml:space="preserve">With regards to the RA </w:t>
            </w:r>
            <w:r w:rsidR="001D5504">
              <w:t>compliant</w:t>
            </w:r>
            <w:r>
              <w:t xml:space="preserve"> product – would BPA consider selling firm energy (i.e. not index)?</w:t>
            </w:r>
          </w:p>
        </w:tc>
      </w:tr>
      <w:tr w:rsidR="00613C5B" w:rsidTr="00587563">
        <w:tc>
          <w:tcPr>
            <w:tcW w:w="1795" w:type="dxa"/>
          </w:tcPr>
          <w:p w:rsidR="00613C5B" w:rsidRPr="00587563" w:rsidRDefault="00613C5B" w:rsidP="00613C5B">
            <w:pPr>
              <w:jc w:val="center"/>
            </w:pPr>
            <w:r w:rsidRPr="00587563">
              <w:t>BPA’s Response</w:t>
            </w:r>
          </w:p>
          <w:p w:rsidR="00613C5B" w:rsidRPr="00587563" w:rsidRDefault="00613C5B" w:rsidP="00613C5B">
            <w:pPr>
              <w:jc w:val="center"/>
            </w:pPr>
          </w:p>
        </w:tc>
        <w:tc>
          <w:tcPr>
            <w:tcW w:w="7434" w:type="dxa"/>
          </w:tcPr>
          <w:p w:rsidR="00613C5B" w:rsidRPr="00587563" w:rsidRDefault="00AB7267" w:rsidP="00613C5B">
            <w:r w:rsidRPr="00AB7267">
              <w:lastRenderedPageBreak/>
              <w:t xml:space="preserve">BPA is only considering index plus pricing bid </w:t>
            </w:r>
            <w:r>
              <w:t>as compliant to the RFO.</w:t>
            </w:r>
          </w:p>
        </w:tc>
      </w:tr>
      <w:tr w:rsidR="0028753C" w:rsidTr="00B154B9">
        <w:tc>
          <w:tcPr>
            <w:tcW w:w="9229" w:type="dxa"/>
            <w:gridSpan w:val="2"/>
          </w:tcPr>
          <w:p w:rsidR="0028753C" w:rsidRPr="00FC041E" w:rsidRDefault="0028753C" w:rsidP="00613C5B"/>
        </w:tc>
      </w:tr>
      <w:tr w:rsidR="00613C5B" w:rsidTr="00587563">
        <w:tc>
          <w:tcPr>
            <w:tcW w:w="1795" w:type="dxa"/>
          </w:tcPr>
          <w:p w:rsidR="00613C5B" w:rsidRPr="00587563" w:rsidRDefault="00613C5B" w:rsidP="00613C5B">
            <w:pPr>
              <w:jc w:val="center"/>
            </w:pPr>
            <w:r w:rsidRPr="00587563">
              <w:t>Date Submitted/</w:t>
            </w:r>
          </w:p>
          <w:p w:rsidR="00613C5B" w:rsidRPr="00587563" w:rsidRDefault="00613C5B" w:rsidP="00613C5B">
            <w:pPr>
              <w:jc w:val="center"/>
            </w:pPr>
            <w:r w:rsidRPr="00587563">
              <w:t>Question</w:t>
            </w:r>
          </w:p>
        </w:tc>
        <w:tc>
          <w:tcPr>
            <w:tcW w:w="7434" w:type="dxa"/>
          </w:tcPr>
          <w:p w:rsidR="00AB7267" w:rsidRPr="00587563" w:rsidRDefault="0090137A" w:rsidP="00613C5B">
            <w:r>
              <w:t>Please provide clarity how the call option will work.</w:t>
            </w:r>
          </w:p>
        </w:tc>
      </w:tr>
      <w:tr w:rsidR="00613C5B" w:rsidTr="00587563">
        <w:tc>
          <w:tcPr>
            <w:tcW w:w="1795" w:type="dxa"/>
          </w:tcPr>
          <w:p w:rsidR="00613C5B" w:rsidRPr="00587563" w:rsidRDefault="00613C5B" w:rsidP="00613C5B">
            <w:pPr>
              <w:jc w:val="center"/>
            </w:pPr>
            <w:r w:rsidRPr="00587563">
              <w:t>BPA’s Response</w:t>
            </w:r>
          </w:p>
          <w:p w:rsidR="00613C5B" w:rsidRPr="00587563" w:rsidRDefault="00613C5B" w:rsidP="00613C5B">
            <w:pPr>
              <w:jc w:val="center"/>
            </w:pPr>
          </w:p>
        </w:tc>
        <w:tc>
          <w:tcPr>
            <w:tcW w:w="7434" w:type="dxa"/>
          </w:tcPr>
          <w:p w:rsidR="0090137A" w:rsidRPr="0090137A" w:rsidRDefault="007379FA" w:rsidP="0090137A">
            <w:r w:rsidRPr="00B72C33">
              <w:t>Buyer</w:t>
            </w:r>
            <w:r w:rsidR="0090137A" w:rsidRPr="00B72C33">
              <w:t xml:space="preserve"> pay</w:t>
            </w:r>
            <w:r w:rsidRPr="00B72C33">
              <w:t>s</w:t>
            </w:r>
            <w:r w:rsidR="0090137A" w:rsidRPr="00B72C33">
              <w:t xml:space="preserve"> a</w:t>
            </w:r>
            <w:r w:rsidR="0090137A" w:rsidRPr="0090137A">
              <w:t xml:space="preserve"> premium, expressed in $/kw-</w:t>
            </w:r>
            <w:proofErr w:type="spellStart"/>
            <w:r w:rsidR="0090137A" w:rsidRPr="0090137A">
              <w:t>mo</w:t>
            </w:r>
            <w:proofErr w:type="spellEnd"/>
            <w:r w:rsidR="0090137A" w:rsidRPr="0090137A">
              <w:t xml:space="preserve">, and in consideration of the premium </w:t>
            </w:r>
            <w:r w:rsidR="0090137A" w:rsidRPr="00B72C33">
              <w:t>payment</w:t>
            </w:r>
            <w:r w:rsidRPr="00B72C33">
              <w:t>.  Buyer has</w:t>
            </w:r>
            <w:r w:rsidR="0090137A" w:rsidRPr="00B72C33">
              <w:t xml:space="preserve"> the right</w:t>
            </w:r>
            <w:r w:rsidR="0090137A" w:rsidRPr="0090137A">
              <w:t xml:space="preserve"> to call on the agreed energy amount, each day.  </w:t>
            </w:r>
            <w:r>
              <w:t>Buyer</w:t>
            </w:r>
            <w:r w:rsidRPr="0090137A">
              <w:t xml:space="preserve"> </w:t>
            </w:r>
            <w:r w:rsidR="0090137A" w:rsidRPr="0090137A">
              <w:t xml:space="preserve">will pay Mid-C index (as measured by ICE) for the energy </w:t>
            </w:r>
            <w:r>
              <w:t>it</w:t>
            </w:r>
            <w:r w:rsidR="0090137A" w:rsidRPr="0090137A">
              <w:t xml:space="preserve"> call</w:t>
            </w:r>
            <w:r>
              <w:t>s</w:t>
            </w:r>
            <w:r w:rsidR="0090137A" w:rsidRPr="0090137A">
              <w:t xml:space="preserve"> on.  Mid-C is the only index </w:t>
            </w:r>
            <w:r>
              <w:t>BPA</w:t>
            </w:r>
            <w:r w:rsidR="0090137A" w:rsidRPr="0090137A">
              <w:t xml:space="preserve"> will accept.</w:t>
            </w:r>
          </w:p>
          <w:p w:rsidR="00613C5B" w:rsidRPr="0090137A" w:rsidRDefault="00613C5B" w:rsidP="00613C5B"/>
          <w:p w:rsidR="0090137A" w:rsidRPr="0090137A" w:rsidRDefault="0090137A" w:rsidP="0090137A">
            <w:r w:rsidRPr="0090137A">
              <w:t xml:space="preserve">What may not have been clear in the RFO is quantity.  </w:t>
            </w:r>
            <w:r w:rsidR="007379FA">
              <w:t>Buyer</w:t>
            </w:r>
            <w:r w:rsidRPr="0090137A">
              <w:t xml:space="preserve"> will bid based on a MW amount, up to 200 MW, </w:t>
            </w:r>
            <w:r w:rsidR="007379FA">
              <w:t>the buyer</w:t>
            </w:r>
            <w:r w:rsidRPr="0090137A">
              <w:t xml:space="preserve"> chose</w:t>
            </w:r>
            <w:r w:rsidR="007379FA">
              <w:t xml:space="preserve"> in its bid</w:t>
            </w:r>
            <w:r w:rsidRPr="0090137A">
              <w:t xml:space="preserve"> for a given month.  That is the quantity your premium will be based on for that month.  Each day you may call on a specific MW amount up to the max amount you have the right to call on.   When you call on energy for any given day, you may call on a quantity smaller than your monthly max.  That quantity will need to be scheduled and taken every delivery hour of that day (flat or heavy hours, depending on the terms).</w:t>
            </w:r>
          </w:p>
          <w:p w:rsidR="0090137A" w:rsidRPr="0090137A" w:rsidRDefault="0090137A" w:rsidP="00613C5B"/>
        </w:tc>
      </w:tr>
      <w:tr w:rsidR="0028753C" w:rsidTr="00B26AE4">
        <w:tc>
          <w:tcPr>
            <w:tcW w:w="9229" w:type="dxa"/>
            <w:gridSpan w:val="2"/>
          </w:tcPr>
          <w:p w:rsidR="0028753C" w:rsidRDefault="0028753C" w:rsidP="00613C5B"/>
        </w:tc>
      </w:tr>
      <w:tr w:rsidR="00613C5B" w:rsidTr="00587563">
        <w:tc>
          <w:tcPr>
            <w:tcW w:w="1795" w:type="dxa"/>
          </w:tcPr>
          <w:p w:rsidR="00613C5B" w:rsidRDefault="00613C5B" w:rsidP="00613C5B">
            <w:pPr>
              <w:jc w:val="center"/>
            </w:pPr>
            <w:r>
              <w:t>Date Submitted/</w:t>
            </w:r>
          </w:p>
          <w:p w:rsidR="00613C5B" w:rsidRDefault="00613C5B" w:rsidP="00613C5B">
            <w:pPr>
              <w:jc w:val="center"/>
            </w:pPr>
            <w:r>
              <w:t>Question</w:t>
            </w:r>
          </w:p>
        </w:tc>
        <w:tc>
          <w:tcPr>
            <w:tcW w:w="7434" w:type="dxa"/>
          </w:tcPr>
          <w:p w:rsidR="00613C5B" w:rsidRDefault="001D5504" w:rsidP="00613C5B">
            <w:r>
              <w:t>5/5/2022</w:t>
            </w:r>
          </w:p>
          <w:p w:rsidR="001D5504" w:rsidRDefault="001D5504" w:rsidP="00613C5B">
            <w:r>
              <w:t>Would it be possible to submit multiple mutually exclusive bids (e.g. a 200MW bid for option 1 and a 200 MW bid for option 2)?</w:t>
            </w:r>
          </w:p>
        </w:tc>
      </w:tr>
      <w:tr w:rsidR="00613C5B" w:rsidTr="00587563">
        <w:tc>
          <w:tcPr>
            <w:tcW w:w="1795" w:type="dxa"/>
          </w:tcPr>
          <w:p w:rsidR="00613C5B" w:rsidRDefault="00613C5B" w:rsidP="00613C5B">
            <w:pPr>
              <w:jc w:val="center"/>
            </w:pPr>
            <w:r>
              <w:t>BPA’s Response</w:t>
            </w:r>
          </w:p>
          <w:p w:rsidR="00613C5B" w:rsidRDefault="00613C5B" w:rsidP="00613C5B">
            <w:pPr>
              <w:jc w:val="center"/>
            </w:pPr>
          </w:p>
        </w:tc>
        <w:tc>
          <w:tcPr>
            <w:tcW w:w="7434" w:type="dxa"/>
          </w:tcPr>
          <w:p w:rsidR="00A45F97" w:rsidRPr="00A45F97" w:rsidRDefault="00A45F97" w:rsidP="00A45F97">
            <w:r w:rsidRPr="00A45F97">
              <w:t>Yes, different bids for different products, or time periods can be submitted.</w:t>
            </w:r>
          </w:p>
          <w:p w:rsidR="00613C5B" w:rsidRDefault="00613C5B" w:rsidP="00613C5B"/>
        </w:tc>
      </w:tr>
      <w:tr w:rsidR="0028753C" w:rsidTr="00EC58DD">
        <w:tc>
          <w:tcPr>
            <w:tcW w:w="9229" w:type="dxa"/>
            <w:gridSpan w:val="2"/>
          </w:tcPr>
          <w:p w:rsidR="0028753C" w:rsidRPr="00FC041E" w:rsidRDefault="0028753C" w:rsidP="00613C5B"/>
        </w:tc>
      </w:tr>
      <w:tr w:rsidR="0090137A" w:rsidTr="00587563">
        <w:tc>
          <w:tcPr>
            <w:tcW w:w="1795" w:type="dxa"/>
          </w:tcPr>
          <w:p w:rsidR="0090137A" w:rsidRDefault="0090137A" w:rsidP="0090137A">
            <w:pPr>
              <w:jc w:val="center"/>
            </w:pPr>
            <w:r>
              <w:t>Date Submitted/</w:t>
            </w:r>
          </w:p>
          <w:p w:rsidR="0090137A" w:rsidRDefault="0090137A" w:rsidP="0090137A">
            <w:pPr>
              <w:jc w:val="center"/>
            </w:pPr>
            <w:r>
              <w:t>Question</w:t>
            </w:r>
          </w:p>
        </w:tc>
        <w:tc>
          <w:tcPr>
            <w:tcW w:w="7434" w:type="dxa"/>
          </w:tcPr>
          <w:p w:rsidR="0090137A" w:rsidRDefault="0090137A" w:rsidP="0090137A">
            <w:r>
              <w:t>5/5/2022</w:t>
            </w:r>
          </w:p>
          <w:p w:rsidR="0090137A" w:rsidRPr="00587563" w:rsidRDefault="0090137A" w:rsidP="0090137A">
            <w:r>
              <w:t>Is Product 1 was considered ACS?</w:t>
            </w:r>
          </w:p>
        </w:tc>
      </w:tr>
      <w:tr w:rsidR="0090137A" w:rsidTr="00587563">
        <w:tc>
          <w:tcPr>
            <w:tcW w:w="1795" w:type="dxa"/>
          </w:tcPr>
          <w:p w:rsidR="0090137A" w:rsidRDefault="0090137A" w:rsidP="0090137A">
            <w:pPr>
              <w:jc w:val="center"/>
            </w:pPr>
            <w:r>
              <w:t>BPA’s Response</w:t>
            </w:r>
          </w:p>
          <w:p w:rsidR="0090137A" w:rsidRDefault="0090137A" w:rsidP="0090137A">
            <w:pPr>
              <w:jc w:val="center"/>
            </w:pPr>
          </w:p>
        </w:tc>
        <w:tc>
          <w:tcPr>
            <w:tcW w:w="7434" w:type="dxa"/>
          </w:tcPr>
          <w:p w:rsidR="0090137A" w:rsidRPr="00AB7267" w:rsidRDefault="00E16819" w:rsidP="0090137A">
            <w:pPr>
              <w:rPr>
                <w:rFonts w:cstheme="minorHAnsi"/>
              </w:rPr>
            </w:pPr>
            <w:r>
              <w:rPr>
                <w:rFonts w:cstheme="minorHAnsi"/>
              </w:rPr>
              <w:t xml:space="preserve">Product 1 does not explicitly include ACS; however, </w:t>
            </w:r>
            <w:r w:rsidR="0090137A">
              <w:rPr>
                <w:rFonts w:cstheme="minorHAnsi"/>
              </w:rPr>
              <w:t xml:space="preserve">BPA suggest the party </w:t>
            </w:r>
            <w:r w:rsidR="0090137A" w:rsidRPr="00AB7267">
              <w:rPr>
                <w:rFonts w:cstheme="minorHAnsi"/>
              </w:rPr>
              <w:t xml:space="preserve">make </w:t>
            </w:r>
            <w:r w:rsidR="0090137A">
              <w:rPr>
                <w:rFonts w:cstheme="minorHAnsi"/>
              </w:rPr>
              <w:t>their</w:t>
            </w:r>
            <w:r w:rsidR="0090137A" w:rsidRPr="00AB7267">
              <w:rPr>
                <w:rFonts w:cstheme="minorHAnsi"/>
              </w:rPr>
              <w:t xml:space="preserve"> own judgement on if it qualifies.</w:t>
            </w:r>
            <w:r w:rsidR="0090137A">
              <w:rPr>
                <w:rFonts w:cstheme="minorHAnsi"/>
              </w:rPr>
              <w:t xml:space="preserve"> </w:t>
            </w:r>
            <w:r w:rsidR="0090137A" w:rsidRPr="00AB7267">
              <w:rPr>
                <w:rFonts w:cstheme="minorHAnsi"/>
              </w:rPr>
              <w:t>The following document may be of some assist</w:t>
            </w:r>
            <w:r w:rsidR="0090137A" w:rsidRPr="001D5504">
              <w:rPr>
                <w:rFonts w:cstheme="minorHAnsi"/>
              </w:rPr>
              <w:t>ance.</w:t>
            </w:r>
            <w:r w:rsidR="0090137A" w:rsidRPr="001D5504">
              <w:rPr>
                <w:rFonts w:cstheme="minorHAnsi"/>
                <w:color w:val="0070C0"/>
              </w:rPr>
              <w:t xml:space="preserve"> (</w:t>
            </w:r>
            <w:hyperlink r:id="rId9" w:history="1">
              <w:r w:rsidR="0090137A" w:rsidRPr="001D5504">
                <w:rPr>
                  <w:rStyle w:val="Hyperlink"/>
                  <w:rFonts w:cstheme="minorHAnsi"/>
                  <w:color w:val="0070C0"/>
                </w:rPr>
                <w:t>epe-faqs-2020.pdf (ca.gov)</w:t>
              </w:r>
            </w:hyperlink>
          </w:p>
          <w:p w:rsidR="0090137A" w:rsidRPr="00AB7267" w:rsidRDefault="0090137A" w:rsidP="0090137A">
            <w:pPr>
              <w:rPr>
                <w:rFonts w:cstheme="minorHAnsi"/>
              </w:rPr>
            </w:pPr>
          </w:p>
        </w:tc>
      </w:tr>
      <w:tr w:rsidR="0090137A" w:rsidTr="00587563">
        <w:tc>
          <w:tcPr>
            <w:tcW w:w="1795" w:type="dxa"/>
          </w:tcPr>
          <w:p w:rsidR="0090137A" w:rsidRDefault="0090137A" w:rsidP="0090137A"/>
        </w:tc>
        <w:tc>
          <w:tcPr>
            <w:tcW w:w="7434" w:type="dxa"/>
          </w:tcPr>
          <w:p w:rsidR="0090137A" w:rsidRPr="00FC041E" w:rsidRDefault="0090137A" w:rsidP="0090137A"/>
        </w:tc>
      </w:tr>
      <w:tr w:rsidR="0090137A" w:rsidTr="00587563">
        <w:tc>
          <w:tcPr>
            <w:tcW w:w="1795" w:type="dxa"/>
          </w:tcPr>
          <w:p w:rsidR="0090137A" w:rsidRDefault="0090137A" w:rsidP="0090137A">
            <w:pPr>
              <w:jc w:val="center"/>
            </w:pPr>
            <w:r>
              <w:t>Date Submitted/</w:t>
            </w:r>
          </w:p>
          <w:p w:rsidR="0090137A" w:rsidRDefault="0090137A" w:rsidP="0090137A">
            <w:pPr>
              <w:jc w:val="center"/>
            </w:pPr>
            <w:r>
              <w:t>Question</w:t>
            </w:r>
          </w:p>
        </w:tc>
        <w:tc>
          <w:tcPr>
            <w:tcW w:w="7434" w:type="dxa"/>
          </w:tcPr>
          <w:p w:rsidR="0090137A" w:rsidRDefault="007379FA" w:rsidP="0090137A">
            <w:r>
              <w:t>5/6/2022</w:t>
            </w:r>
          </w:p>
          <w:p w:rsidR="007379FA" w:rsidRDefault="007379FA" w:rsidP="0090137A">
            <w:r>
              <w:t xml:space="preserve">If a NW IOU submits the highest value bid, will the other NW IOUs as well as the </w:t>
            </w:r>
            <w:r w:rsidR="00B72C33">
              <w:t>Public Preference C</w:t>
            </w:r>
            <w:r w:rsidR="00484E95">
              <w:t>ustomers have a change to exercise their preference rights by matching the bid?</w:t>
            </w:r>
          </w:p>
        </w:tc>
      </w:tr>
      <w:tr w:rsidR="0090137A" w:rsidTr="00587563">
        <w:tc>
          <w:tcPr>
            <w:tcW w:w="1795" w:type="dxa"/>
          </w:tcPr>
          <w:p w:rsidR="0090137A" w:rsidRDefault="0090137A" w:rsidP="0090137A">
            <w:pPr>
              <w:jc w:val="center"/>
            </w:pPr>
            <w:r>
              <w:t>BPA’s Response</w:t>
            </w:r>
          </w:p>
          <w:p w:rsidR="0090137A" w:rsidRDefault="0090137A" w:rsidP="0090137A">
            <w:pPr>
              <w:jc w:val="center"/>
            </w:pPr>
          </w:p>
        </w:tc>
        <w:tc>
          <w:tcPr>
            <w:tcW w:w="7434" w:type="dxa"/>
          </w:tcPr>
          <w:p w:rsidR="0090137A" w:rsidRDefault="00484E95" w:rsidP="0090137A">
            <w:r>
              <w:t xml:space="preserve">In this case, </w:t>
            </w:r>
            <w:r w:rsidR="00B72C33">
              <w:t>only Public Preference C</w:t>
            </w:r>
            <w:r>
              <w:t>ustomers would be shown the bid.</w:t>
            </w:r>
          </w:p>
        </w:tc>
      </w:tr>
      <w:tr w:rsidR="00F841C1" w:rsidTr="00882C28">
        <w:tc>
          <w:tcPr>
            <w:tcW w:w="9229" w:type="dxa"/>
            <w:gridSpan w:val="2"/>
          </w:tcPr>
          <w:p w:rsidR="00F841C1" w:rsidRPr="00FC041E" w:rsidRDefault="00F841C1" w:rsidP="0090137A"/>
        </w:tc>
      </w:tr>
      <w:tr w:rsidR="00F841C1" w:rsidTr="00587563">
        <w:tc>
          <w:tcPr>
            <w:tcW w:w="1795" w:type="dxa"/>
          </w:tcPr>
          <w:p w:rsidR="00F841C1" w:rsidRDefault="00F841C1" w:rsidP="00F841C1">
            <w:pPr>
              <w:jc w:val="center"/>
            </w:pPr>
            <w:r>
              <w:t>Date Submitted/</w:t>
            </w:r>
          </w:p>
          <w:p w:rsidR="00F841C1" w:rsidRDefault="00F841C1" w:rsidP="00F841C1">
            <w:r>
              <w:t>Question</w:t>
            </w:r>
          </w:p>
        </w:tc>
        <w:tc>
          <w:tcPr>
            <w:tcW w:w="7434" w:type="dxa"/>
          </w:tcPr>
          <w:p w:rsidR="00F841C1" w:rsidRDefault="00F841C1" w:rsidP="00F841C1">
            <w:r>
              <w:t>5/6/2022</w:t>
            </w:r>
          </w:p>
          <w:p w:rsidR="00F841C1" w:rsidRPr="00FC041E" w:rsidRDefault="00F841C1" w:rsidP="00F841C1">
            <w:r>
              <w:t>How will you address the pending change in ICE Mid-C index products being discussed to address CETA sinking obligations effective January 1, 2023?</w:t>
            </w:r>
          </w:p>
        </w:tc>
      </w:tr>
      <w:tr w:rsidR="00F841C1" w:rsidTr="00587563">
        <w:tc>
          <w:tcPr>
            <w:tcW w:w="1795" w:type="dxa"/>
          </w:tcPr>
          <w:p w:rsidR="00F841C1" w:rsidRDefault="00F841C1" w:rsidP="00F841C1">
            <w:pPr>
              <w:jc w:val="center"/>
            </w:pPr>
            <w:r>
              <w:t>BPA’s Response</w:t>
            </w:r>
          </w:p>
          <w:p w:rsidR="00F841C1" w:rsidRDefault="00F841C1" w:rsidP="00F841C1"/>
        </w:tc>
        <w:tc>
          <w:tcPr>
            <w:tcW w:w="7434" w:type="dxa"/>
          </w:tcPr>
          <w:p w:rsidR="00F841C1" w:rsidRPr="00FC041E" w:rsidRDefault="00F841C1" w:rsidP="00F841C1">
            <w:r w:rsidRPr="0016620F">
              <w:t xml:space="preserve">BPA’s intent </w:t>
            </w:r>
            <w:r w:rsidR="000516D1">
              <w:t xml:space="preserve">is </w:t>
            </w:r>
            <w:r w:rsidRPr="0016620F">
              <w:t>to sell at the prevailing index, which may turn out to be the index with WA delivery assumed.  If BPA is the first jurisdictional then it will pick up that associated obligation, if not then the buyer will be responsible.  Bidders should consider this ambiguity in their pricing.</w:t>
            </w:r>
          </w:p>
        </w:tc>
      </w:tr>
    </w:tbl>
    <w:p w:rsidR="00F20A32" w:rsidRPr="00C746EA" w:rsidRDefault="00F20A32" w:rsidP="00C746EA"/>
    <w:sectPr w:rsidR="00F20A32" w:rsidRPr="00C746EA" w:rsidSect="007A5753">
      <w:head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8F" w:rsidRDefault="0024458F" w:rsidP="00C746EA">
      <w:pPr>
        <w:spacing w:after="0" w:line="240" w:lineRule="auto"/>
      </w:pPr>
      <w:r>
        <w:separator/>
      </w:r>
    </w:p>
  </w:endnote>
  <w:endnote w:type="continuationSeparator" w:id="0">
    <w:p w:rsidR="0024458F" w:rsidRDefault="0024458F" w:rsidP="00C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8F" w:rsidRDefault="0024458F" w:rsidP="00C746EA">
      <w:pPr>
        <w:spacing w:after="0" w:line="240" w:lineRule="auto"/>
      </w:pPr>
      <w:r>
        <w:separator/>
      </w:r>
    </w:p>
  </w:footnote>
  <w:footnote w:type="continuationSeparator" w:id="0">
    <w:p w:rsidR="0024458F" w:rsidRDefault="0024458F" w:rsidP="00C7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EA" w:rsidRDefault="00C746EA" w:rsidP="002B45FB">
    <w:pPr>
      <w:pStyle w:val="Header"/>
      <w:ind w:left="-90"/>
      <w:jc w:val="center"/>
    </w:pPr>
    <w:r w:rsidRPr="00C746EA">
      <w:rPr>
        <w:noProof/>
      </w:rPr>
      <w:drawing>
        <wp:inline distT="0" distB="0" distL="0" distR="0" wp14:anchorId="01DF1319" wp14:editId="538521B9">
          <wp:extent cx="6041910" cy="2879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42624" cy="302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41E"/>
    <w:multiLevelType w:val="hybridMultilevel"/>
    <w:tmpl w:val="B41C35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527B6B"/>
    <w:multiLevelType w:val="hybridMultilevel"/>
    <w:tmpl w:val="3B2EB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EA"/>
    <w:rsid w:val="000516D1"/>
    <w:rsid w:val="00076352"/>
    <w:rsid w:val="00087235"/>
    <w:rsid w:val="000C0835"/>
    <w:rsid w:val="000D30E2"/>
    <w:rsid w:val="000E2DC7"/>
    <w:rsid w:val="000F42C6"/>
    <w:rsid w:val="0016620F"/>
    <w:rsid w:val="0019272E"/>
    <w:rsid w:val="001A464D"/>
    <w:rsid w:val="001A49F7"/>
    <w:rsid w:val="001C55AC"/>
    <w:rsid w:val="001D05FF"/>
    <w:rsid w:val="001D5504"/>
    <w:rsid w:val="00223C73"/>
    <w:rsid w:val="0024458F"/>
    <w:rsid w:val="0028753C"/>
    <w:rsid w:val="002B45FB"/>
    <w:rsid w:val="002E6E48"/>
    <w:rsid w:val="003307C4"/>
    <w:rsid w:val="00330B6D"/>
    <w:rsid w:val="003353D3"/>
    <w:rsid w:val="00353BBB"/>
    <w:rsid w:val="003670EA"/>
    <w:rsid w:val="003A4718"/>
    <w:rsid w:val="003B55D7"/>
    <w:rsid w:val="003E284E"/>
    <w:rsid w:val="00417671"/>
    <w:rsid w:val="00435D35"/>
    <w:rsid w:val="00453B32"/>
    <w:rsid w:val="00484E95"/>
    <w:rsid w:val="004B038D"/>
    <w:rsid w:val="004B6ED1"/>
    <w:rsid w:val="004C3D44"/>
    <w:rsid w:val="004C518A"/>
    <w:rsid w:val="00587563"/>
    <w:rsid w:val="005A387B"/>
    <w:rsid w:val="00600F79"/>
    <w:rsid w:val="00613C5B"/>
    <w:rsid w:val="006165EC"/>
    <w:rsid w:val="00662DF4"/>
    <w:rsid w:val="00695326"/>
    <w:rsid w:val="006F6EC9"/>
    <w:rsid w:val="00706693"/>
    <w:rsid w:val="00706B21"/>
    <w:rsid w:val="0072168B"/>
    <w:rsid w:val="00727177"/>
    <w:rsid w:val="007379FA"/>
    <w:rsid w:val="00784BD5"/>
    <w:rsid w:val="007A5753"/>
    <w:rsid w:val="007D31C6"/>
    <w:rsid w:val="007E5CB5"/>
    <w:rsid w:val="00864FF6"/>
    <w:rsid w:val="0086556D"/>
    <w:rsid w:val="008B0AF7"/>
    <w:rsid w:val="008D48F7"/>
    <w:rsid w:val="0090137A"/>
    <w:rsid w:val="009545B3"/>
    <w:rsid w:val="009B1808"/>
    <w:rsid w:val="009C5F1F"/>
    <w:rsid w:val="00A45F97"/>
    <w:rsid w:val="00A54AD4"/>
    <w:rsid w:val="00A919E1"/>
    <w:rsid w:val="00AB7267"/>
    <w:rsid w:val="00AE4C3F"/>
    <w:rsid w:val="00B10C5D"/>
    <w:rsid w:val="00B342C4"/>
    <w:rsid w:val="00B57CAE"/>
    <w:rsid w:val="00B72C33"/>
    <w:rsid w:val="00BC52AD"/>
    <w:rsid w:val="00BC6886"/>
    <w:rsid w:val="00BE05AA"/>
    <w:rsid w:val="00BF37A6"/>
    <w:rsid w:val="00C15745"/>
    <w:rsid w:val="00C56336"/>
    <w:rsid w:val="00C64E3E"/>
    <w:rsid w:val="00C746EA"/>
    <w:rsid w:val="00C76B59"/>
    <w:rsid w:val="00CA323A"/>
    <w:rsid w:val="00CB758E"/>
    <w:rsid w:val="00CE1893"/>
    <w:rsid w:val="00CE239D"/>
    <w:rsid w:val="00D674CA"/>
    <w:rsid w:val="00DA681F"/>
    <w:rsid w:val="00E16819"/>
    <w:rsid w:val="00E41D70"/>
    <w:rsid w:val="00E4392A"/>
    <w:rsid w:val="00E51E5E"/>
    <w:rsid w:val="00E85B65"/>
    <w:rsid w:val="00E924B3"/>
    <w:rsid w:val="00E9340E"/>
    <w:rsid w:val="00EC133B"/>
    <w:rsid w:val="00EE44B0"/>
    <w:rsid w:val="00F20A32"/>
    <w:rsid w:val="00F32769"/>
    <w:rsid w:val="00F841C1"/>
    <w:rsid w:val="00F8770C"/>
    <w:rsid w:val="00F97238"/>
    <w:rsid w:val="00FC041E"/>
    <w:rsid w:val="00FC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2E9D9A-0FFC-43C9-9414-5043DCCB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6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6EA"/>
  </w:style>
  <w:style w:type="paragraph" w:styleId="Footer">
    <w:name w:val="footer"/>
    <w:basedOn w:val="Normal"/>
    <w:link w:val="FooterChar"/>
    <w:uiPriority w:val="99"/>
    <w:unhideWhenUsed/>
    <w:rsid w:val="00C74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6EA"/>
  </w:style>
  <w:style w:type="character" w:customStyle="1" w:styleId="Heading1Char">
    <w:name w:val="Heading 1 Char"/>
    <w:basedOn w:val="DefaultParagraphFont"/>
    <w:link w:val="Heading1"/>
    <w:uiPriority w:val="9"/>
    <w:rsid w:val="00C746E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746EA"/>
    <w:pPr>
      <w:spacing w:after="0" w:line="240" w:lineRule="auto"/>
      <w:ind w:left="720"/>
      <w:contextualSpacing/>
      <w:jc w:val="both"/>
    </w:pPr>
    <w:rPr>
      <w:rFonts w:ascii="Times New Roman" w:eastAsia="Times New Roman" w:hAnsi="Times New Roman" w:cs="Times New Roman"/>
      <w:sz w:val="24"/>
      <w:szCs w:val="20"/>
    </w:rPr>
  </w:style>
  <w:style w:type="table" w:styleId="TableGrid">
    <w:name w:val="Table Grid"/>
    <w:basedOn w:val="TableNormal"/>
    <w:uiPriority w:val="59"/>
    <w:rsid w:val="00CB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E3E"/>
    <w:rPr>
      <w:color w:val="0000FF"/>
      <w:u w:val="single"/>
    </w:rPr>
  </w:style>
  <w:style w:type="paragraph" w:styleId="BalloonText">
    <w:name w:val="Balloon Text"/>
    <w:basedOn w:val="Normal"/>
    <w:link w:val="BalloonTextChar"/>
    <w:uiPriority w:val="99"/>
    <w:semiHidden/>
    <w:unhideWhenUsed/>
    <w:rsid w:val="000D3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E2"/>
    <w:rPr>
      <w:rFonts w:ascii="Segoe UI" w:hAnsi="Segoe UI" w:cs="Segoe UI"/>
      <w:sz w:val="18"/>
      <w:szCs w:val="18"/>
    </w:rPr>
  </w:style>
  <w:style w:type="character" w:styleId="FollowedHyperlink">
    <w:name w:val="FollowedHyperlink"/>
    <w:basedOn w:val="DefaultParagraphFont"/>
    <w:uiPriority w:val="99"/>
    <w:semiHidden/>
    <w:unhideWhenUsed/>
    <w:rsid w:val="001D5504"/>
    <w:rPr>
      <w:color w:val="800080" w:themeColor="followedHyperlink"/>
      <w:u w:val="single"/>
    </w:rPr>
  </w:style>
  <w:style w:type="character" w:styleId="CommentReference">
    <w:name w:val="annotation reference"/>
    <w:basedOn w:val="DefaultParagraphFont"/>
    <w:uiPriority w:val="99"/>
    <w:semiHidden/>
    <w:unhideWhenUsed/>
    <w:rsid w:val="00484E95"/>
    <w:rPr>
      <w:sz w:val="16"/>
      <w:szCs w:val="16"/>
    </w:rPr>
  </w:style>
  <w:style w:type="paragraph" w:styleId="CommentText">
    <w:name w:val="annotation text"/>
    <w:basedOn w:val="Normal"/>
    <w:link w:val="CommentTextChar"/>
    <w:uiPriority w:val="99"/>
    <w:semiHidden/>
    <w:unhideWhenUsed/>
    <w:rsid w:val="00484E95"/>
    <w:pPr>
      <w:spacing w:line="240" w:lineRule="auto"/>
    </w:pPr>
    <w:rPr>
      <w:sz w:val="20"/>
      <w:szCs w:val="20"/>
    </w:rPr>
  </w:style>
  <w:style w:type="character" w:customStyle="1" w:styleId="CommentTextChar">
    <w:name w:val="Comment Text Char"/>
    <w:basedOn w:val="DefaultParagraphFont"/>
    <w:link w:val="CommentText"/>
    <w:uiPriority w:val="99"/>
    <w:semiHidden/>
    <w:rsid w:val="00484E95"/>
    <w:rPr>
      <w:sz w:val="20"/>
      <w:szCs w:val="20"/>
    </w:rPr>
  </w:style>
  <w:style w:type="paragraph" w:styleId="CommentSubject">
    <w:name w:val="annotation subject"/>
    <w:basedOn w:val="CommentText"/>
    <w:next w:val="CommentText"/>
    <w:link w:val="CommentSubjectChar"/>
    <w:uiPriority w:val="99"/>
    <w:semiHidden/>
    <w:unhideWhenUsed/>
    <w:rsid w:val="00484E95"/>
    <w:rPr>
      <w:b/>
      <w:bCs/>
    </w:rPr>
  </w:style>
  <w:style w:type="character" w:customStyle="1" w:styleId="CommentSubjectChar">
    <w:name w:val="Comment Subject Char"/>
    <w:basedOn w:val="CommentTextChar"/>
    <w:link w:val="CommentSubject"/>
    <w:uiPriority w:val="99"/>
    <w:semiHidden/>
    <w:rsid w:val="00484E95"/>
    <w:rPr>
      <w:b/>
      <w:bCs/>
      <w:sz w:val="20"/>
      <w:szCs w:val="20"/>
    </w:rPr>
  </w:style>
  <w:style w:type="character" w:styleId="Emphasis">
    <w:name w:val="Emphasis"/>
    <w:basedOn w:val="DefaultParagraphFont"/>
    <w:uiPriority w:val="20"/>
    <w:qFormat/>
    <w:rsid w:val="00F84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582">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94606627">
      <w:bodyDiv w:val="1"/>
      <w:marLeft w:val="0"/>
      <w:marRight w:val="0"/>
      <w:marTop w:val="0"/>
      <w:marBottom w:val="0"/>
      <w:divBdr>
        <w:top w:val="none" w:sz="0" w:space="0" w:color="auto"/>
        <w:left w:val="none" w:sz="0" w:space="0" w:color="auto"/>
        <w:bottom w:val="none" w:sz="0" w:space="0" w:color="auto"/>
        <w:right w:val="none" w:sz="0" w:space="0" w:color="auto"/>
      </w:divBdr>
    </w:div>
    <w:div w:id="432744952">
      <w:bodyDiv w:val="1"/>
      <w:marLeft w:val="0"/>
      <w:marRight w:val="0"/>
      <w:marTop w:val="0"/>
      <w:marBottom w:val="0"/>
      <w:divBdr>
        <w:top w:val="none" w:sz="0" w:space="0" w:color="auto"/>
        <w:left w:val="none" w:sz="0" w:space="0" w:color="auto"/>
        <w:bottom w:val="none" w:sz="0" w:space="0" w:color="auto"/>
        <w:right w:val="none" w:sz="0" w:space="0" w:color="auto"/>
      </w:divBdr>
    </w:div>
    <w:div w:id="629748776">
      <w:bodyDiv w:val="1"/>
      <w:marLeft w:val="0"/>
      <w:marRight w:val="0"/>
      <w:marTop w:val="0"/>
      <w:marBottom w:val="0"/>
      <w:divBdr>
        <w:top w:val="none" w:sz="0" w:space="0" w:color="auto"/>
        <w:left w:val="none" w:sz="0" w:space="0" w:color="auto"/>
        <w:bottom w:val="none" w:sz="0" w:space="0" w:color="auto"/>
        <w:right w:val="none" w:sz="0" w:space="0" w:color="auto"/>
      </w:divBdr>
    </w:div>
    <w:div w:id="776488443">
      <w:bodyDiv w:val="1"/>
      <w:marLeft w:val="0"/>
      <w:marRight w:val="0"/>
      <w:marTop w:val="0"/>
      <w:marBottom w:val="0"/>
      <w:divBdr>
        <w:top w:val="none" w:sz="0" w:space="0" w:color="auto"/>
        <w:left w:val="none" w:sz="0" w:space="0" w:color="auto"/>
        <w:bottom w:val="none" w:sz="0" w:space="0" w:color="auto"/>
        <w:right w:val="none" w:sz="0" w:space="0" w:color="auto"/>
      </w:divBdr>
    </w:div>
    <w:div w:id="1219785174">
      <w:bodyDiv w:val="1"/>
      <w:marLeft w:val="0"/>
      <w:marRight w:val="0"/>
      <w:marTop w:val="0"/>
      <w:marBottom w:val="0"/>
      <w:divBdr>
        <w:top w:val="none" w:sz="0" w:space="0" w:color="auto"/>
        <w:left w:val="none" w:sz="0" w:space="0" w:color="auto"/>
        <w:bottom w:val="none" w:sz="0" w:space="0" w:color="auto"/>
        <w:right w:val="none" w:sz="0" w:space="0" w:color="auto"/>
      </w:divBdr>
    </w:div>
    <w:div w:id="1493525915">
      <w:bodyDiv w:val="1"/>
      <w:marLeft w:val="0"/>
      <w:marRight w:val="0"/>
      <w:marTop w:val="0"/>
      <w:marBottom w:val="0"/>
      <w:divBdr>
        <w:top w:val="none" w:sz="0" w:space="0" w:color="auto"/>
        <w:left w:val="none" w:sz="0" w:space="0" w:color="auto"/>
        <w:bottom w:val="none" w:sz="0" w:space="0" w:color="auto"/>
        <w:right w:val="none" w:sz="0" w:space="0" w:color="auto"/>
      </w:divBdr>
    </w:div>
    <w:div w:id="1777409710">
      <w:bodyDiv w:val="1"/>
      <w:marLeft w:val="0"/>
      <w:marRight w:val="0"/>
      <w:marTop w:val="0"/>
      <w:marBottom w:val="0"/>
      <w:divBdr>
        <w:top w:val="none" w:sz="0" w:space="0" w:color="auto"/>
        <w:left w:val="none" w:sz="0" w:space="0" w:color="auto"/>
        <w:bottom w:val="none" w:sz="0" w:space="0" w:color="auto"/>
        <w:right w:val="none" w:sz="0" w:space="0" w:color="auto"/>
      </w:divBdr>
    </w:div>
    <w:div w:id="2043481120">
      <w:bodyDiv w:val="1"/>
      <w:marLeft w:val="0"/>
      <w:marRight w:val="0"/>
      <w:marTop w:val="0"/>
      <w:marBottom w:val="0"/>
      <w:divBdr>
        <w:top w:val="none" w:sz="0" w:space="0" w:color="auto"/>
        <w:left w:val="none" w:sz="0" w:space="0" w:color="auto"/>
        <w:bottom w:val="none" w:sz="0" w:space="0" w:color="auto"/>
        <w:right w:val="none" w:sz="0" w:space="0" w:color="auto"/>
      </w:divBdr>
    </w:div>
    <w:div w:id="21096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2.arb.ca.gov%2Fmrr-acs&amp;data=04%7C01%7CJim.Schroeder%40pacificorp.com%7C06a1db2829994415169c08da1e660b3c%7C7c1f6b10192b4a839d3281ef58325c37%7C0%7C0%7C637855720897569224%7CUnknown%7CTWFpbGZsb3d8eyJWIjoiMC4wLjAwMDAiLCJQIjoiV2luMzIiLCJBTiI6Ik1haWwiLCJXVCI6Mn0%3D%7C3000&amp;sdata=nOVyHp8DxUuOpuUUpBx4w5RPjRTT859a9rd7dVI96CA%3D&amp;reserved=0" TargetMode="External"/><Relationship Id="rId3" Type="http://schemas.openxmlformats.org/officeDocument/2006/relationships/settings" Target="settings.xml"/><Relationship Id="rId7" Type="http://schemas.openxmlformats.org/officeDocument/2006/relationships/hyperlink" Target="mailto:memiller@bp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b.ca.gov/cc/reporting/ghg-rep/ghg-rep-power/epe-faqs-2020.pdf?_ga=2.177836133.1353550776.1651689644-442020450.16516896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Allen,Adrian S (BPA) - PTL-5</dc:creator>
  <cp:keywords/>
  <dc:description/>
  <cp:lastModifiedBy>Allen,Adrian S (BPA) - PTL-5</cp:lastModifiedBy>
  <cp:revision>3</cp:revision>
  <dcterms:created xsi:type="dcterms:W3CDTF">2022-05-10T17:16:00Z</dcterms:created>
  <dcterms:modified xsi:type="dcterms:W3CDTF">2022-05-10T17:17:00Z</dcterms:modified>
</cp:coreProperties>
</file>