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11C" w:rsidRDefault="00785984">
      <w:pPr>
        <w:spacing w:after="191" w:line="259" w:lineRule="auto"/>
        <w:ind w:left="0" w:right="-78" w:firstLine="0"/>
      </w:pPr>
      <w:r>
        <w:rPr>
          <w:rFonts w:ascii="Calibri" w:eastAsia="Calibri" w:hAnsi="Calibri" w:cs="Calibri"/>
          <w:noProof/>
          <w:sz w:val="22"/>
        </w:rPr>
        <mc:AlternateContent>
          <mc:Choice Requires="wpg">
            <w:drawing>
              <wp:inline distT="0" distB="0" distL="0" distR="0">
                <wp:extent cx="5810254" cy="19063"/>
                <wp:effectExtent l="0" t="0" r="0" b="0"/>
                <wp:docPr id="1111" name="Group 1111"/>
                <wp:cNvGraphicFramePr/>
                <a:graphic xmlns:a="http://schemas.openxmlformats.org/drawingml/2006/main">
                  <a:graphicData uri="http://schemas.microsoft.com/office/word/2010/wordprocessingGroup">
                    <wpg:wgp>
                      <wpg:cNvGrpSpPr/>
                      <wpg:grpSpPr>
                        <a:xfrm>
                          <a:off x="0" y="0"/>
                          <a:ext cx="5810254" cy="19063"/>
                          <a:chOff x="0" y="0"/>
                          <a:chExt cx="5810254" cy="19063"/>
                        </a:xfrm>
                      </wpg:grpSpPr>
                      <wps:wsp>
                        <wps:cNvPr id="1622" name="Shape 1622"/>
                        <wps:cNvSpPr/>
                        <wps:spPr>
                          <a:xfrm>
                            <a:off x="0" y="9"/>
                            <a:ext cx="5810250" cy="19050"/>
                          </a:xfrm>
                          <a:custGeom>
                            <a:avLst/>
                            <a:gdLst/>
                            <a:ahLst/>
                            <a:cxnLst/>
                            <a:rect l="0" t="0" r="0" b="0"/>
                            <a:pathLst>
                              <a:path w="5810250" h="19050">
                                <a:moveTo>
                                  <a:pt x="0" y="0"/>
                                </a:moveTo>
                                <a:lnTo>
                                  <a:pt x="5810250" y="0"/>
                                </a:lnTo>
                                <a:lnTo>
                                  <a:pt x="581025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8" name="Shape 8"/>
                        <wps:cNvSpPr/>
                        <wps:spPr>
                          <a:xfrm>
                            <a:off x="4" y="5"/>
                            <a:ext cx="5810250" cy="9538"/>
                          </a:xfrm>
                          <a:custGeom>
                            <a:avLst/>
                            <a:gdLst/>
                            <a:ahLst/>
                            <a:cxnLst/>
                            <a:rect l="0" t="0" r="0" b="0"/>
                            <a:pathLst>
                              <a:path w="5810250" h="9538">
                                <a:moveTo>
                                  <a:pt x="0" y="0"/>
                                </a:moveTo>
                                <a:lnTo>
                                  <a:pt x="5810250" y="0"/>
                                </a:lnTo>
                                <a:lnTo>
                                  <a:pt x="5800725" y="9538"/>
                                </a:lnTo>
                                <a:lnTo>
                                  <a:pt x="9525" y="9538"/>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 name="Shape 9"/>
                        <wps:cNvSpPr/>
                        <wps:spPr>
                          <a:xfrm>
                            <a:off x="0" y="9538"/>
                            <a:ext cx="5810250" cy="9525"/>
                          </a:xfrm>
                          <a:custGeom>
                            <a:avLst/>
                            <a:gdLst/>
                            <a:ahLst/>
                            <a:cxnLst/>
                            <a:rect l="0" t="0" r="0" b="0"/>
                            <a:pathLst>
                              <a:path w="5810250" h="9525">
                                <a:moveTo>
                                  <a:pt x="9525" y="0"/>
                                </a:moveTo>
                                <a:lnTo>
                                  <a:pt x="5800725" y="0"/>
                                </a:lnTo>
                                <a:lnTo>
                                  <a:pt x="5810250" y="9525"/>
                                </a:lnTo>
                                <a:lnTo>
                                  <a:pt x="0" y="9525"/>
                                </a:lnTo>
                                <a:lnTo>
                                  <a:pt x="9525"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0" name="Shape 10"/>
                        <wps:cNvSpPr/>
                        <wps:spPr>
                          <a:xfrm>
                            <a:off x="4" y="9"/>
                            <a:ext cx="9525" cy="19050"/>
                          </a:xfrm>
                          <a:custGeom>
                            <a:avLst/>
                            <a:gdLst/>
                            <a:ahLst/>
                            <a:cxnLst/>
                            <a:rect l="0" t="0" r="0" b="0"/>
                            <a:pathLst>
                              <a:path w="9525" h="19050">
                                <a:moveTo>
                                  <a:pt x="0" y="0"/>
                                </a:moveTo>
                                <a:lnTo>
                                  <a:pt x="9525" y="9525"/>
                                </a:lnTo>
                                <a:lnTo>
                                  <a:pt x="0" y="19050"/>
                                </a:lnTo>
                                <a:lnTo>
                                  <a:pt x="0"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 name="Shape 11"/>
                        <wps:cNvSpPr/>
                        <wps:spPr>
                          <a:xfrm>
                            <a:off x="5800729" y="0"/>
                            <a:ext cx="9525" cy="19063"/>
                          </a:xfrm>
                          <a:custGeom>
                            <a:avLst/>
                            <a:gdLst/>
                            <a:ahLst/>
                            <a:cxnLst/>
                            <a:rect l="0" t="0" r="0" b="0"/>
                            <a:pathLst>
                              <a:path w="9525" h="19063">
                                <a:moveTo>
                                  <a:pt x="9525" y="0"/>
                                </a:moveTo>
                                <a:lnTo>
                                  <a:pt x="9525" y="19063"/>
                                </a:lnTo>
                                <a:lnTo>
                                  <a:pt x="0" y="9538"/>
                                </a:lnTo>
                                <a:lnTo>
                                  <a:pt x="9525" y="0"/>
                                </a:ln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a="http://schemas.openxmlformats.org/drawingml/2006/main">
            <w:pict>
              <v:group id="Group 1111" style="width:457.5pt;height:1.50101pt;mso-position-horizontal-relative:char;mso-position-vertical-relative:line" coordsize="58102,190">
                <v:shape id="Shape 1623" style="position:absolute;width:58102;height:190;left:0;top:0;" coordsize="5810250,19050" path="m0,0l5810250,0l5810250,19050l0,19050l0,0">
                  <v:stroke weight="0pt" endcap="flat" joinstyle="miter" miterlimit="10" on="false" color="#000000" opacity="0"/>
                  <v:fill on="true" color="#808080"/>
                </v:shape>
                <v:shape id="Shape 8" style="position:absolute;width:58102;height:95;left:0;top:0;" coordsize="5810250,9538" path="m0,0l5810250,0l5800725,9538l9525,9538l0,0x">
                  <v:stroke weight="0pt" endcap="flat" joinstyle="miter" miterlimit="10" on="false" color="#000000" opacity="0"/>
                  <v:fill on="true" color="#808080"/>
                </v:shape>
                <v:shape id="Shape 9" style="position:absolute;width:58102;height:95;left:0;top:95;" coordsize="5810250,9525" path="m9525,0l5800725,0l5810250,9525l0,9525l9525,0x">
                  <v:stroke weight="0pt" endcap="flat" joinstyle="miter" miterlimit="10" on="false" color="#000000" opacity="0"/>
                  <v:fill on="true" color="#808080"/>
                </v:shape>
                <v:shape id="Shape 10" style="position:absolute;width:95;height:190;left:0;top:0;" coordsize="9525,19050" path="m0,0l9525,9525l0,19050l0,0x">
                  <v:stroke weight="0pt" endcap="flat" joinstyle="miter" miterlimit="10" on="false" color="#000000" opacity="0"/>
                  <v:fill on="true" color="#808080"/>
                </v:shape>
                <v:shape id="Shape 11" style="position:absolute;width:95;height:190;left:58007;top:0;" coordsize="9525,19063" path="m9525,0l9525,19063l0,9538l9525,0x">
                  <v:stroke weight="0pt" endcap="flat" joinstyle="miter" miterlimit="10" on="false" color="#000000" opacity="0"/>
                  <v:fill on="true" color="#808080"/>
                </v:shape>
              </v:group>
            </w:pict>
          </mc:Fallback>
        </mc:AlternateContent>
      </w:r>
    </w:p>
    <w:p w:rsidR="00A4411C" w:rsidRDefault="00785984">
      <w:pPr>
        <w:spacing w:after="2" w:line="261" w:lineRule="auto"/>
        <w:ind w:left="-5" w:hanging="10"/>
      </w:pPr>
      <w:r>
        <w:rPr>
          <w:rFonts w:ascii="Calibri" w:eastAsia="Calibri" w:hAnsi="Calibri" w:cs="Calibri"/>
          <w:sz w:val="23"/>
        </w:rPr>
        <w:t>BPA Provider of Choice comment line,</w:t>
      </w:r>
      <w:bookmarkStart w:id="0" w:name="_GoBack"/>
      <w:bookmarkEnd w:id="0"/>
    </w:p>
    <w:p w:rsidR="00A4411C" w:rsidRDefault="00785984">
      <w:pPr>
        <w:spacing w:after="3" w:line="259" w:lineRule="auto"/>
        <w:ind w:left="0" w:firstLine="0"/>
      </w:pPr>
      <w:r>
        <w:rPr>
          <w:rFonts w:ascii="Calibri" w:eastAsia="Calibri" w:hAnsi="Calibri" w:cs="Calibri"/>
          <w:sz w:val="23"/>
        </w:rPr>
        <w:t xml:space="preserve"> </w:t>
      </w:r>
    </w:p>
    <w:p w:rsidR="00A4411C" w:rsidRDefault="00785984">
      <w:pPr>
        <w:spacing w:after="2" w:line="261" w:lineRule="auto"/>
        <w:ind w:left="-5" w:hanging="10"/>
      </w:pPr>
      <w:r>
        <w:rPr>
          <w:rFonts w:ascii="Calibri" w:eastAsia="Calibri" w:hAnsi="Calibri" w:cs="Calibri"/>
          <w:sz w:val="23"/>
        </w:rPr>
        <w:t xml:space="preserve">On behalf of Connie Smith and Sean </w:t>
      </w:r>
      <w:proofErr w:type="spellStart"/>
      <w:r>
        <w:rPr>
          <w:rFonts w:ascii="Calibri" w:eastAsia="Calibri" w:hAnsi="Calibri" w:cs="Calibri"/>
          <w:sz w:val="23"/>
        </w:rPr>
        <w:t>Madderom</w:t>
      </w:r>
      <w:proofErr w:type="spellEnd"/>
      <w:r>
        <w:rPr>
          <w:rFonts w:ascii="Calibri" w:eastAsia="Calibri" w:hAnsi="Calibri" w:cs="Calibri"/>
          <w:sz w:val="23"/>
        </w:rPr>
        <w:t xml:space="preserve">, please find below Hanford’s comments to the redline sections discussed in last week’s workshop. </w:t>
      </w:r>
    </w:p>
    <w:p w:rsidR="00A4411C" w:rsidRDefault="00785984">
      <w:pPr>
        <w:spacing w:after="2" w:line="261" w:lineRule="auto"/>
        <w:ind w:left="-5" w:hanging="10"/>
      </w:pPr>
      <w:r>
        <w:rPr>
          <w:rFonts w:ascii="Calibri" w:eastAsia="Calibri" w:hAnsi="Calibri" w:cs="Calibri"/>
          <w:sz w:val="23"/>
        </w:rPr>
        <w:t>In 2(a) below, Hanford will follow up with standard billing and payment terms.</w:t>
      </w:r>
    </w:p>
    <w:p w:rsidR="00A4411C" w:rsidRDefault="00785984">
      <w:pPr>
        <w:spacing w:after="3" w:line="259" w:lineRule="auto"/>
        <w:ind w:left="0" w:firstLine="0"/>
      </w:pPr>
      <w:r>
        <w:rPr>
          <w:rFonts w:ascii="Calibri" w:eastAsia="Calibri" w:hAnsi="Calibri" w:cs="Calibri"/>
          <w:sz w:val="23"/>
        </w:rPr>
        <w:t xml:space="preserve"> </w:t>
      </w:r>
    </w:p>
    <w:p w:rsidR="00A4411C" w:rsidRDefault="00785984">
      <w:pPr>
        <w:spacing w:after="2" w:line="261" w:lineRule="auto"/>
        <w:ind w:left="-5" w:hanging="10"/>
      </w:pPr>
      <w:r>
        <w:rPr>
          <w:rFonts w:ascii="Calibri" w:eastAsia="Calibri" w:hAnsi="Calibri" w:cs="Calibri"/>
          <w:sz w:val="23"/>
        </w:rPr>
        <w:t>Thank you for consideration of these comments, and many thanks to Connie Smith for compiling these for us.</w:t>
      </w:r>
    </w:p>
    <w:p w:rsidR="00A4411C" w:rsidRDefault="00785984">
      <w:pPr>
        <w:spacing w:after="3" w:line="259" w:lineRule="auto"/>
        <w:ind w:left="0" w:firstLine="0"/>
      </w:pPr>
      <w:r>
        <w:rPr>
          <w:rFonts w:ascii="Calibri" w:eastAsia="Calibri" w:hAnsi="Calibri" w:cs="Calibri"/>
          <w:sz w:val="23"/>
        </w:rPr>
        <w:t xml:space="preserve"> </w:t>
      </w:r>
    </w:p>
    <w:p w:rsidR="00A4411C" w:rsidRDefault="00785984">
      <w:pPr>
        <w:spacing w:after="2" w:line="261" w:lineRule="auto"/>
        <w:ind w:left="-5" w:hanging="10"/>
      </w:pPr>
      <w:r>
        <w:rPr>
          <w:rFonts w:ascii="Calibri" w:eastAsia="Calibri" w:hAnsi="Calibri" w:cs="Calibri"/>
          <w:sz w:val="23"/>
        </w:rPr>
        <w:t>Elaine Porcaro,</w:t>
      </w:r>
    </w:p>
    <w:p w:rsidR="00A4411C" w:rsidRDefault="00785984">
      <w:pPr>
        <w:spacing w:after="2" w:line="261" w:lineRule="auto"/>
        <w:ind w:left="-5" w:hanging="10"/>
      </w:pPr>
      <w:r>
        <w:rPr>
          <w:rFonts w:ascii="Calibri" w:eastAsia="Calibri" w:hAnsi="Calibri" w:cs="Calibri"/>
          <w:sz w:val="23"/>
        </w:rPr>
        <w:t>DOE Hanford Chief Engineer</w:t>
      </w:r>
    </w:p>
    <w:p w:rsidR="00A4411C" w:rsidRDefault="00785984">
      <w:pPr>
        <w:spacing w:after="4" w:line="259" w:lineRule="auto"/>
        <w:ind w:left="0" w:firstLine="0"/>
      </w:pPr>
      <w:r>
        <w:rPr>
          <w:rFonts w:ascii="Calibri" w:eastAsia="Calibri" w:hAnsi="Calibri" w:cs="Calibri"/>
          <w:sz w:val="23"/>
        </w:rPr>
        <w:t xml:space="preserve"> </w:t>
      </w:r>
    </w:p>
    <w:p w:rsidR="00A4411C" w:rsidRDefault="00785984">
      <w:pPr>
        <w:spacing w:line="259" w:lineRule="auto"/>
        <w:ind w:left="0" w:firstLine="0"/>
      </w:pPr>
      <w:r>
        <w:t xml:space="preserve"> </w:t>
      </w:r>
    </w:p>
    <w:p w:rsidR="00A4411C" w:rsidRDefault="00785984">
      <w:pPr>
        <w:numPr>
          <w:ilvl w:val="0"/>
          <w:numId w:val="1"/>
        </w:numPr>
        <w:spacing w:after="26"/>
        <w:ind w:hanging="300"/>
      </w:pPr>
      <w:r>
        <w:t>Section 1 - Term: No comments.</w:t>
      </w:r>
    </w:p>
    <w:p w:rsidR="00A4411C" w:rsidRDefault="00785984">
      <w:pPr>
        <w:spacing w:line="259" w:lineRule="auto"/>
        <w:ind w:left="0" w:firstLine="0"/>
      </w:pPr>
      <w:r>
        <w:t xml:space="preserve"> </w:t>
      </w:r>
    </w:p>
    <w:p w:rsidR="00A4411C" w:rsidRDefault="00785984">
      <w:pPr>
        <w:numPr>
          <w:ilvl w:val="0"/>
          <w:numId w:val="1"/>
        </w:numPr>
        <w:spacing w:after="26"/>
        <w:ind w:hanging="300"/>
      </w:pPr>
      <w:r>
        <w:t>Section 16 – Billing and Payment</w:t>
      </w:r>
    </w:p>
    <w:p w:rsidR="00A4411C" w:rsidRDefault="00785984">
      <w:pPr>
        <w:spacing w:line="259" w:lineRule="auto"/>
        <w:ind w:left="720" w:firstLine="0"/>
      </w:pPr>
      <w:r>
        <w:t xml:space="preserve"> </w:t>
      </w:r>
    </w:p>
    <w:p w:rsidR="00A4411C" w:rsidRDefault="00785984">
      <w:pPr>
        <w:numPr>
          <w:ilvl w:val="1"/>
          <w:numId w:val="1"/>
        </w:numPr>
        <w:ind w:hanging="300"/>
      </w:pPr>
      <w:r>
        <w:t xml:space="preserve">Section 16.5.3. For Federal agencies, different terms should apply as methods and requirements differ. The Anti-Deficiency Act should be referenced. For Federal agencies, each agency’s standard processes should be identified. Hanford will provide its standard terms shortly.  For refunds, please add “Unless a federal agency requests otherwise, when any refund is due, the parties will coordinate. Generally, BPA will credit the refund against subsequent BPA bills. If the refund amount will exceed the payment due, the refund will be applied to multiple bills rather than creating a negative balance.”  </w:t>
      </w:r>
    </w:p>
    <w:p w:rsidR="00A4411C" w:rsidRDefault="00785984">
      <w:pPr>
        <w:spacing w:line="259" w:lineRule="auto"/>
        <w:ind w:left="0" w:firstLine="0"/>
      </w:pPr>
      <w:r>
        <w:t xml:space="preserve"> </w:t>
      </w:r>
    </w:p>
    <w:p w:rsidR="00A4411C" w:rsidRDefault="00785984">
      <w:pPr>
        <w:numPr>
          <w:ilvl w:val="0"/>
          <w:numId w:val="1"/>
        </w:numPr>
        <w:spacing w:after="26"/>
        <w:ind w:hanging="300"/>
      </w:pPr>
      <w:r>
        <w:t>Section 21- Uncontrollable Forces</w:t>
      </w:r>
    </w:p>
    <w:p w:rsidR="00A4411C" w:rsidRDefault="00785984">
      <w:pPr>
        <w:numPr>
          <w:ilvl w:val="1"/>
          <w:numId w:val="1"/>
        </w:numPr>
        <w:ind w:hanging="300"/>
      </w:pPr>
      <w:r>
        <w:t>Section 21.1(2) Please add “For Federal agencies, the unavailability of funds may be considered an Uncontrollable Force and the dispute resolution process applies.”</w:t>
      </w:r>
    </w:p>
    <w:p w:rsidR="00A4411C" w:rsidRDefault="00785984">
      <w:pPr>
        <w:numPr>
          <w:ilvl w:val="1"/>
          <w:numId w:val="1"/>
        </w:numPr>
        <w:ind w:hanging="300"/>
      </w:pPr>
      <w:r>
        <w:t>Section 21.3, please change “immediately” to “promptly” in subsection (1), and add “, and electronic notification is acceptable.” These changes are intended to better reflect typical practices during events.</w:t>
      </w:r>
    </w:p>
    <w:p w:rsidR="00A4411C" w:rsidRDefault="00785984">
      <w:pPr>
        <w:spacing w:line="259" w:lineRule="auto"/>
        <w:ind w:left="720" w:firstLine="0"/>
      </w:pPr>
      <w:r>
        <w:t xml:space="preserve"> </w:t>
      </w:r>
    </w:p>
    <w:p w:rsidR="00A4411C" w:rsidRDefault="00785984">
      <w:pPr>
        <w:numPr>
          <w:ilvl w:val="0"/>
          <w:numId w:val="1"/>
        </w:numPr>
        <w:spacing w:after="26"/>
        <w:ind w:hanging="300"/>
      </w:pPr>
      <w:r>
        <w:t>Section 22 – Governing Law and Dispute Resolution: No comments.</w:t>
      </w:r>
    </w:p>
    <w:p w:rsidR="00A4411C" w:rsidRDefault="00785984">
      <w:pPr>
        <w:spacing w:line="259" w:lineRule="auto"/>
        <w:ind w:left="0" w:firstLine="0"/>
      </w:pPr>
      <w:r>
        <w:t xml:space="preserve"> </w:t>
      </w:r>
    </w:p>
    <w:p w:rsidR="00A4411C" w:rsidRDefault="00785984">
      <w:pPr>
        <w:numPr>
          <w:ilvl w:val="0"/>
          <w:numId w:val="1"/>
        </w:numPr>
        <w:ind w:hanging="300"/>
      </w:pPr>
      <w:r>
        <w:t xml:space="preserve">General comment. Please leave flexibility in the form contract for multiple notification points of contact. For the Hanford contract, please consider that there should be both executive and liaison contacts, as well as primary and alternate points of contact in the contract for our agency and for BPA for many reasons. Reasons include federal </w:t>
      </w:r>
      <w:r>
        <w:lastRenderedPageBreak/>
        <w:t>employees may go on military leave or have other extended absences, and contractors perform key support.</w:t>
      </w:r>
    </w:p>
    <w:p w:rsidR="00A4411C" w:rsidRDefault="00785984">
      <w:pPr>
        <w:spacing w:line="259" w:lineRule="auto"/>
        <w:ind w:left="720" w:firstLine="0"/>
      </w:pPr>
      <w:r>
        <w:t xml:space="preserve"> </w:t>
      </w:r>
    </w:p>
    <w:p w:rsidR="00A4411C" w:rsidRDefault="00A4411C">
      <w:pPr>
        <w:sectPr w:rsidR="00A4411C">
          <w:pgSz w:w="12240" w:h="15840"/>
          <w:pgMar w:top="1265" w:right="1608" w:bottom="1440" w:left="1560" w:header="720" w:footer="720" w:gutter="0"/>
          <w:cols w:space="720"/>
        </w:sectPr>
      </w:pPr>
    </w:p>
    <w:p w:rsidR="00A4411C" w:rsidRDefault="00A4411C">
      <w:pPr>
        <w:spacing w:line="259" w:lineRule="auto"/>
        <w:ind w:left="0" w:firstLine="0"/>
      </w:pPr>
    </w:p>
    <w:sectPr w:rsidR="00A441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B60C9"/>
    <w:multiLevelType w:val="hybridMultilevel"/>
    <w:tmpl w:val="8BAA7DD6"/>
    <w:lvl w:ilvl="0" w:tplc="D804A8FA">
      <w:start w:val="1"/>
      <w:numFmt w:val="decimal"/>
      <w:lvlText w:val="%1."/>
      <w:lvlJc w:val="left"/>
      <w:pPr>
        <w:ind w:left="5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00ADBA">
      <w:start w:val="1"/>
      <w:numFmt w:val="lowerLetter"/>
      <w:lvlText w:val="%2."/>
      <w:lvlJc w:val="left"/>
      <w:pPr>
        <w:ind w:left="12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240C93C">
      <w:start w:val="1"/>
      <w:numFmt w:val="lowerRoman"/>
      <w:lvlText w:val="%3"/>
      <w:lvlJc w:val="left"/>
      <w:pPr>
        <w:ind w:left="19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276F7F2">
      <w:start w:val="1"/>
      <w:numFmt w:val="decimal"/>
      <w:lvlText w:val="%4"/>
      <w:lvlJc w:val="left"/>
      <w:pPr>
        <w:ind w:left="27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FAA642E">
      <w:start w:val="1"/>
      <w:numFmt w:val="lowerLetter"/>
      <w:lvlText w:val="%5"/>
      <w:lvlJc w:val="left"/>
      <w:pPr>
        <w:ind w:left="34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F007614">
      <w:start w:val="1"/>
      <w:numFmt w:val="lowerRoman"/>
      <w:lvlText w:val="%6"/>
      <w:lvlJc w:val="left"/>
      <w:pPr>
        <w:ind w:left="41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F30C0A8">
      <w:start w:val="1"/>
      <w:numFmt w:val="decimal"/>
      <w:lvlText w:val="%7"/>
      <w:lvlJc w:val="left"/>
      <w:pPr>
        <w:ind w:left="48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78ECC84">
      <w:start w:val="1"/>
      <w:numFmt w:val="lowerLetter"/>
      <w:lvlText w:val="%8"/>
      <w:lvlJc w:val="left"/>
      <w:pPr>
        <w:ind w:left="55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B5841CA">
      <w:start w:val="1"/>
      <w:numFmt w:val="lowerRoman"/>
      <w:lvlText w:val="%9"/>
      <w:lvlJc w:val="left"/>
      <w:pPr>
        <w:ind w:left="63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1C"/>
    <w:rsid w:val="00322B6D"/>
    <w:rsid w:val="00785984"/>
    <w:rsid w:val="00A4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5A526-ADD5-4B3E-AC96-11B7261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3" w:lineRule="auto"/>
      <w:ind w:left="610" w:hanging="3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BPA</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keywords/>
  <cp:lastModifiedBy>Schaefer,Tara C (CONTR) - PS-6</cp:lastModifiedBy>
  <cp:revision>3</cp:revision>
  <dcterms:created xsi:type="dcterms:W3CDTF">2024-04-18T16:22:00Z</dcterms:created>
  <dcterms:modified xsi:type="dcterms:W3CDTF">2024-05-08T19:25:00Z</dcterms:modified>
</cp:coreProperties>
</file>