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9F5D9" w14:textId="07EF866B" w:rsidR="00AE7411" w:rsidRPr="006C785D" w:rsidRDefault="00AE7411" w:rsidP="004E60F6">
      <w:pPr>
        <w:jc w:val="center"/>
        <w:rPr>
          <w:rFonts w:ascii="Century Schoolbook" w:hAnsi="Century Schoolbook"/>
          <w:b/>
          <w:bCs/>
          <w:sz w:val="28"/>
          <w:szCs w:val="28"/>
        </w:rPr>
      </w:pPr>
      <w:r w:rsidRPr="006C785D">
        <w:rPr>
          <w:rFonts w:ascii="Century Schoolbook" w:hAnsi="Century Schoolbook"/>
          <w:b/>
          <w:bCs/>
          <w:sz w:val="28"/>
          <w:szCs w:val="28"/>
        </w:rPr>
        <w:t>Provider of Choice</w:t>
      </w:r>
      <w:r w:rsidR="00F959BE" w:rsidRPr="006C785D">
        <w:rPr>
          <w:rFonts w:ascii="Century Schoolbook" w:hAnsi="Century Schoolbook"/>
          <w:b/>
          <w:bCs/>
          <w:sz w:val="28"/>
          <w:szCs w:val="28"/>
        </w:rPr>
        <w:t xml:space="preserve"> Comparison to Regional Dialogue</w:t>
      </w:r>
    </w:p>
    <w:p w14:paraId="2E08A9F2" w14:textId="77777777" w:rsidR="00AE7411" w:rsidRPr="006C785D" w:rsidRDefault="00AE7411" w:rsidP="00AE7411">
      <w:pPr>
        <w:rPr>
          <w:b/>
          <w:bCs/>
        </w:rPr>
      </w:pPr>
    </w:p>
    <w:p w14:paraId="54F27F9D" w14:textId="573A9218" w:rsidR="00AE7411" w:rsidRPr="006C785D" w:rsidRDefault="00AE7411" w:rsidP="004E60F6">
      <w:pPr>
        <w:jc w:val="center"/>
        <w:rPr>
          <w:rFonts w:ascii="Century Schoolbook" w:hAnsi="Century Schoolbook"/>
          <w:b/>
          <w:bCs/>
        </w:rPr>
      </w:pPr>
      <w:r w:rsidRPr="006C785D">
        <w:rPr>
          <w:rFonts w:ascii="Century Schoolbook" w:hAnsi="Century Schoolbook"/>
          <w:b/>
          <w:bCs/>
        </w:rPr>
        <w:t xml:space="preserve">Companion to </w:t>
      </w:r>
      <w:r w:rsidR="008226ED">
        <w:rPr>
          <w:rFonts w:ascii="Century Schoolbook" w:hAnsi="Century Schoolbook"/>
          <w:b/>
          <w:bCs/>
        </w:rPr>
        <w:t>Final</w:t>
      </w:r>
      <w:r w:rsidRPr="006C785D">
        <w:rPr>
          <w:rFonts w:ascii="Century Schoolbook" w:hAnsi="Century Schoolbook"/>
          <w:b/>
          <w:bCs/>
        </w:rPr>
        <w:t xml:space="preserve"> </w:t>
      </w:r>
      <w:r w:rsidR="00342841">
        <w:rPr>
          <w:rFonts w:ascii="Century Schoolbook" w:hAnsi="Century Schoolbook"/>
          <w:b/>
          <w:bCs/>
        </w:rPr>
        <w:t xml:space="preserve">Master </w:t>
      </w:r>
      <w:r w:rsidRPr="006C785D">
        <w:rPr>
          <w:rFonts w:ascii="Century Schoolbook" w:hAnsi="Century Schoolbook"/>
          <w:b/>
          <w:bCs/>
        </w:rPr>
        <w:t xml:space="preserve">Contract Template Release, </w:t>
      </w:r>
      <w:r w:rsidR="008226ED">
        <w:rPr>
          <w:rFonts w:ascii="Century Schoolbook" w:hAnsi="Century Schoolbook"/>
          <w:b/>
          <w:bCs/>
        </w:rPr>
        <w:t>June</w:t>
      </w:r>
      <w:r w:rsidR="003655C0">
        <w:rPr>
          <w:rFonts w:ascii="Century Schoolbook" w:hAnsi="Century Schoolbook"/>
          <w:b/>
          <w:bCs/>
        </w:rPr>
        <w:t xml:space="preserve"> 1</w:t>
      </w:r>
      <w:r w:rsidR="008226ED">
        <w:rPr>
          <w:rFonts w:ascii="Century Schoolbook" w:hAnsi="Century Schoolbook"/>
          <w:b/>
          <w:bCs/>
        </w:rPr>
        <w:t>8</w:t>
      </w:r>
      <w:r w:rsidRPr="006C785D">
        <w:rPr>
          <w:rFonts w:ascii="Century Schoolbook" w:hAnsi="Century Schoolbook"/>
          <w:b/>
          <w:bCs/>
        </w:rPr>
        <w:t xml:space="preserve">, </w:t>
      </w:r>
      <w:r w:rsidR="00EF038D" w:rsidRPr="006C785D">
        <w:rPr>
          <w:rFonts w:ascii="Century Schoolbook" w:hAnsi="Century Schoolbook"/>
          <w:b/>
          <w:bCs/>
        </w:rPr>
        <w:t>202</w:t>
      </w:r>
      <w:r w:rsidR="00EF038D">
        <w:rPr>
          <w:rFonts w:ascii="Century Schoolbook" w:hAnsi="Century Schoolbook"/>
          <w:b/>
          <w:bCs/>
        </w:rPr>
        <w:t>5</w:t>
      </w:r>
      <w:r w:rsidR="00EF038D" w:rsidRPr="006C785D">
        <w:rPr>
          <w:rFonts w:ascii="Century Schoolbook" w:hAnsi="Century Schoolbook"/>
          <w:b/>
          <w:bCs/>
        </w:rPr>
        <w:t xml:space="preserve"> </w:t>
      </w:r>
    </w:p>
    <w:p w14:paraId="4BCDC379" w14:textId="77777777" w:rsidR="00AE7411" w:rsidRPr="004E60F6" w:rsidRDefault="00AE7411" w:rsidP="00AE7411">
      <w:pPr>
        <w:rPr>
          <w:rFonts w:ascii="Century Schoolbook" w:hAnsi="Century Schoolbook"/>
        </w:rPr>
      </w:pPr>
    </w:p>
    <w:p w14:paraId="29582B00" w14:textId="4D608B9D" w:rsidR="00AE7411" w:rsidRPr="004E60F6" w:rsidRDefault="00AE7411" w:rsidP="00AE7411">
      <w:pPr>
        <w:rPr>
          <w:rFonts w:ascii="Century Schoolbook" w:hAnsi="Century Schoolbook"/>
          <w:sz w:val="22"/>
          <w:szCs w:val="22"/>
        </w:rPr>
      </w:pPr>
      <w:r w:rsidRPr="004E60F6">
        <w:rPr>
          <w:rFonts w:ascii="Century Schoolbook" w:hAnsi="Century Schoolbook"/>
          <w:b/>
          <w:bCs/>
          <w:sz w:val="22"/>
          <w:szCs w:val="22"/>
        </w:rPr>
        <w:t>Purpose:</w:t>
      </w:r>
      <w:r w:rsidRPr="004E60F6">
        <w:rPr>
          <w:rFonts w:ascii="Century Schoolbook" w:hAnsi="Century Schoolbook"/>
          <w:sz w:val="22"/>
          <w:szCs w:val="22"/>
        </w:rPr>
        <w:t xml:space="preserve"> </w:t>
      </w:r>
      <w:r w:rsidR="00573AEE">
        <w:rPr>
          <w:rFonts w:ascii="Century Schoolbook" w:hAnsi="Century Schoolbook"/>
          <w:sz w:val="22"/>
          <w:szCs w:val="22"/>
        </w:rPr>
        <w:t xml:space="preserve"> </w:t>
      </w:r>
      <w:r w:rsidRPr="004E60F6">
        <w:rPr>
          <w:rFonts w:ascii="Century Schoolbook" w:hAnsi="Century Schoolbook"/>
          <w:sz w:val="22"/>
          <w:szCs w:val="22"/>
        </w:rPr>
        <w:t xml:space="preserve">This document is intended to support review of </w:t>
      </w:r>
      <w:r w:rsidR="00BF69AB">
        <w:rPr>
          <w:rFonts w:ascii="Century Schoolbook" w:hAnsi="Century Schoolbook"/>
          <w:sz w:val="22"/>
          <w:szCs w:val="22"/>
        </w:rPr>
        <w:t xml:space="preserve">the </w:t>
      </w:r>
      <w:r w:rsidR="00F72CFE">
        <w:rPr>
          <w:rFonts w:ascii="Century Schoolbook" w:hAnsi="Century Schoolbook"/>
          <w:sz w:val="22"/>
          <w:szCs w:val="22"/>
        </w:rPr>
        <w:t xml:space="preserve">final </w:t>
      </w:r>
      <w:r w:rsidRPr="004E60F6">
        <w:rPr>
          <w:rFonts w:ascii="Century Schoolbook" w:hAnsi="Century Schoolbook"/>
          <w:sz w:val="22"/>
          <w:szCs w:val="22"/>
        </w:rPr>
        <w:t xml:space="preserve">Provider of Choice </w:t>
      </w:r>
      <w:r w:rsidR="00342841">
        <w:rPr>
          <w:rFonts w:ascii="Century Schoolbook" w:hAnsi="Century Schoolbook"/>
          <w:sz w:val="22"/>
          <w:szCs w:val="22"/>
        </w:rPr>
        <w:t xml:space="preserve">(POC) </w:t>
      </w:r>
      <w:r w:rsidRPr="004E60F6">
        <w:rPr>
          <w:rFonts w:ascii="Century Schoolbook" w:hAnsi="Century Schoolbook"/>
          <w:sz w:val="22"/>
          <w:szCs w:val="22"/>
        </w:rPr>
        <w:t>contract template</w:t>
      </w:r>
      <w:r w:rsidR="00F72CFE">
        <w:rPr>
          <w:rFonts w:ascii="Century Schoolbook" w:hAnsi="Century Schoolbook"/>
          <w:sz w:val="22"/>
          <w:szCs w:val="22"/>
        </w:rPr>
        <w:t>s</w:t>
      </w:r>
      <w:r w:rsidRPr="004E60F6">
        <w:rPr>
          <w:rFonts w:ascii="Century Schoolbook" w:hAnsi="Century Schoolbook"/>
          <w:sz w:val="22"/>
          <w:szCs w:val="22"/>
        </w:rPr>
        <w:t xml:space="preserve">. </w:t>
      </w:r>
      <w:r w:rsidR="00573AEE">
        <w:rPr>
          <w:rFonts w:ascii="Century Schoolbook" w:hAnsi="Century Schoolbook"/>
          <w:sz w:val="22"/>
          <w:szCs w:val="22"/>
        </w:rPr>
        <w:t xml:space="preserve"> </w:t>
      </w:r>
      <w:r w:rsidR="00D053B7" w:rsidRPr="004E60F6">
        <w:rPr>
          <w:rFonts w:ascii="Century Schoolbook" w:hAnsi="Century Schoolbook"/>
          <w:sz w:val="22"/>
          <w:szCs w:val="22"/>
        </w:rPr>
        <w:t>The descriptions in this document are for informational purposes only</w:t>
      </w:r>
      <w:r w:rsidR="008B7CD7" w:rsidRPr="004E60F6">
        <w:rPr>
          <w:rFonts w:ascii="Century Schoolbook" w:hAnsi="Century Schoolbook"/>
          <w:sz w:val="22"/>
          <w:szCs w:val="22"/>
        </w:rPr>
        <w:t xml:space="preserve">, </w:t>
      </w:r>
      <w:r w:rsidR="00573AEE">
        <w:rPr>
          <w:rFonts w:ascii="Century Schoolbook" w:hAnsi="Century Schoolbook"/>
          <w:sz w:val="22"/>
          <w:szCs w:val="22"/>
        </w:rPr>
        <w:t xml:space="preserve">are not intended to be comprehensive, and </w:t>
      </w:r>
      <w:r w:rsidR="00D053B7" w:rsidRPr="004E60F6">
        <w:rPr>
          <w:rFonts w:ascii="Century Schoolbook" w:hAnsi="Century Schoolbook"/>
          <w:sz w:val="22"/>
          <w:szCs w:val="22"/>
        </w:rPr>
        <w:t xml:space="preserve">do not reflect every change made between the </w:t>
      </w:r>
      <w:r w:rsidR="003B4A7E">
        <w:rPr>
          <w:rFonts w:ascii="Century Schoolbook" w:hAnsi="Century Schoolbook"/>
          <w:sz w:val="22"/>
          <w:szCs w:val="22"/>
        </w:rPr>
        <w:t>Regional Dialogue (</w:t>
      </w:r>
      <w:r w:rsidR="00D053B7" w:rsidRPr="004E60F6">
        <w:rPr>
          <w:rFonts w:ascii="Century Schoolbook" w:hAnsi="Century Schoolbook"/>
          <w:sz w:val="22"/>
          <w:szCs w:val="22"/>
        </w:rPr>
        <w:t>RD</w:t>
      </w:r>
      <w:r w:rsidR="003B4A7E">
        <w:rPr>
          <w:rFonts w:ascii="Century Schoolbook" w:hAnsi="Century Schoolbook"/>
          <w:sz w:val="22"/>
          <w:szCs w:val="22"/>
        </w:rPr>
        <w:t>)</w:t>
      </w:r>
      <w:r w:rsidR="00D053B7" w:rsidRPr="004E60F6">
        <w:rPr>
          <w:rFonts w:ascii="Century Schoolbook" w:hAnsi="Century Schoolbook"/>
          <w:sz w:val="22"/>
          <w:szCs w:val="22"/>
        </w:rPr>
        <w:t xml:space="preserve"> and </w:t>
      </w:r>
      <w:r w:rsidR="00342841">
        <w:rPr>
          <w:rFonts w:ascii="Century Schoolbook" w:hAnsi="Century Schoolbook"/>
          <w:sz w:val="22"/>
          <w:szCs w:val="22"/>
        </w:rPr>
        <w:t xml:space="preserve">the </w:t>
      </w:r>
      <w:r w:rsidR="00D053B7" w:rsidRPr="004E60F6">
        <w:rPr>
          <w:rFonts w:ascii="Century Schoolbook" w:hAnsi="Century Schoolbook"/>
          <w:sz w:val="22"/>
          <w:szCs w:val="22"/>
        </w:rPr>
        <w:t xml:space="preserve">POC </w:t>
      </w:r>
      <w:r w:rsidR="00342841">
        <w:rPr>
          <w:rFonts w:ascii="Century Schoolbook" w:hAnsi="Century Schoolbook"/>
          <w:sz w:val="22"/>
          <w:szCs w:val="22"/>
        </w:rPr>
        <w:t>contract template</w:t>
      </w:r>
      <w:r w:rsidR="00F72CFE">
        <w:rPr>
          <w:rFonts w:ascii="Century Schoolbook" w:hAnsi="Century Schoolbook"/>
          <w:sz w:val="22"/>
          <w:szCs w:val="22"/>
        </w:rPr>
        <w:t>s</w:t>
      </w:r>
      <w:r w:rsidR="00573AEE">
        <w:rPr>
          <w:rFonts w:ascii="Century Schoolbook" w:hAnsi="Century Schoolbook"/>
          <w:sz w:val="22"/>
          <w:szCs w:val="22"/>
        </w:rPr>
        <w:t xml:space="preserve">.  This </w:t>
      </w:r>
      <w:r w:rsidR="006C785D">
        <w:rPr>
          <w:rFonts w:ascii="Century Schoolbook" w:hAnsi="Century Schoolbook"/>
          <w:sz w:val="22"/>
          <w:szCs w:val="22"/>
        </w:rPr>
        <w:t xml:space="preserve">comparison </w:t>
      </w:r>
      <w:r w:rsidR="006C785D" w:rsidRPr="004E60F6">
        <w:rPr>
          <w:rFonts w:ascii="Century Schoolbook" w:hAnsi="Century Schoolbook"/>
          <w:sz w:val="22"/>
          <w:szCs w:val="22"/>
        </w:rPr>
        <w:t>is</w:t>
      </w:r>
      <w:r w:rsidR="008B7CD7" w:rsidRPr="004E60F6">
        <w:rPr>
          <w:rFonts w:ascii="Century Schoolbook" w:hAnsi="Century Schoolbook"/>
          <w:sz w:val="22"/>
          <w:szCs w:val="22"/>
        </w:rPr>
        <w:t xml:space="preserve"> n</w:t>
      </w:r>
      <w:r w:rsidR="00F54670">
        <w:rPr>
          <w:rFonts w:ascii="Century Schoolbook" w:hAnsi="Century Schoolbook"/>
          <w:sz w:val="22"/>
          <w:szCs w:val="22"/>
        </w:rPr>
        <w:t>either an interpretation of, nor</w:t>
      </w:r>
      <w:r w:rsidR="008B7CD7" w:rsidRPr="004E60F6">
        <w:rPr>
          <w:rFonts w:ascii="Century Schoolbook" w:hAnsi="Century Schoolbook"/>
          <w:sz w:val="22"/>
          <w:szCs w:val="22"/>
        </w:rPr>
        <w:t xml:space="preserve"> a substitute for executed contract </w:t>
      </w:r>
      <w:r w:rsidR="0085649E" w:rsidRPr="004E60F6">
        <w:rPr>
          <w:rFonts w:ascii="Century Schoolbook" w:hAnsi="Century Schoolbook"/>
          <w:sz w:val="22"/>
          <w:szCs w:val="22"/>
        </w:rPr>
        <w:t>language</w:t>
      </w:r>
      <w:r w:rsidR="00D053B7" w:rsidRPr="004E60F6">
        <w:rPr>
          <w:rFonts w:ascii="Century Schoolbook" w:hAnsi="Century Schoolbook"/>
          <w:sz w:val="22"/>
          <w:szCs w:val="22"/>
        </w:rPr>
        <w:t xml:space="preserve">. </w:t>
      </w:r>
      <w:r w:rsidR="00573AEE">
        <w:rPr>
          <w:rFonts w:ascii="Century Schoolbook" w:hAnsi="Century Schoolbook"/>
          <w:sz w:val="22"/>
          <w:szCs w:val="22"/>
        </w:rPr>
        <w:t xml:space="preserve"> </w:t>
      </w:r>
      <w:r w:rsidR="00D053B7" w:rsidRPr="004E60F6">
        <w:rPr>
          <w:rFonts w:ascii="Century Schoolbook" w:hAnsi="Century Schoolbook"/>
          <w:sz w:val="22"/>
          <w:szCs w:val="22"/>
        </w:rPr>
        <w:t>Parties are responsible for reviewing all contract language</w:t>
      </w:r>
      <w:r w:rsidR="001E6DEF" w:rsidRPr="004E60F6">
        <w:rPr>
          <w:rFonts w:ascii="Century Schoolbook" w:hAnsi="Century Schoolbook"/>
          <w:sz w:val="22"/>
          <w:szCs w:val="22"/>
        </w:rPr>
        <w:t xml:space="preserve"> prior to executing a POC contract.</w:t>
      </w:r>
    </w:p>
    <w:p w14:paraId="3B041E64" w14:textId="77777777" w:rsidR="00AE7411" w:rsidRPr="00AE7411" w:rsidRDefault="00AE7411"/>
    <w:p w14:paraId="21C8482F" w14:textId="77777777" w:rsidR="00AE7411" w:rsidRDefault="00AE7411"/>
    <w:tbl>
      <w:tblPr>
        <w:tblStyle w:val="TableGrid"/>
        <w:tblW w:w="14670" w:type="dxa"/>
        <w:tblInd w:w="-95" w:type="dxa"/>
        <w:tblLook w:val="04A0" w:firstRow="1" w:lastRow="0" w:firstColumn="1" w:lastColumn="0" w:noHBand="0" w:noVBand="1"/>
      </w:tblPr>
      <w:tblGrid>
        <w:gridCol w:w="1800"/>
        <w:gridCol w:w="1800"/>
        <w:gridCol w:w="5760"/>
        <w:gridCol w:w="5310"/>
      </w:tblGrid>
      <w:tr w:rsidR="00FD419D" w:rsidRPr="000F0FBC" w14:paraId="1DDE9347" w14:textId="77777777" w:rsidTr="00801E11">
        <w:trPr>
          <w:cantSplit/>
          <w:tblHeader/>
        </w:trPr>
        <w:tc>
          <w:tcPr>
            <w:tcW w:w="1800" w:type="dxa"/>
            <w:shd w:val="clear" w:color="auto" w:fill="D9D9D9" w:themeFill="background1" w:themeFillShade="D9"/>
          </w:tcPr>
          <w:p w14:paraId="62A30273" w14:textId="2991354C" w:rsidR="00C5113D" w:rsidRPr="000F0FBC" w:rsidRDefault="00C5113D" w:rsidP="00495DBF">
            <w:pPr>
              <w:jc w:val="center"/>
              <w:rPr>
                <w:rFonts w:ascii="Century Schoolbook" w:hAnsi="Century Schoolbook"/>
                <w:b/>
                <w:bCs/>
                <w:sz w:val="20"/>
                <w:szCs w:val="20"/>
              </w:rPr>
            </w:pPr>
            <w:r w:rsidRPr="000F0FBC">
              <w:rPr>
                <w:rFonts w:ascii="Century Schoolbook" w:hAnsi="Century Schoolbook"/>
                <w:b/>
                <w:bCs/>
                <w:sz w:val="20"/>
                <w:szCs w:val="20"/>
              </w:rPr>
              <w:t>Regional Dialogue</w:t>
            </w:r>
            <w:r>
              <w:rPr>
                <w:rFonts w:ascii="Century Schoolbook" w:hAnsi="Century Schoolbook"/>
                <w:b/>
                <w:bCs/>
                <w:sz w:val="20"/>
                <w:szCs w:val="20"/>
              </w:rPr>
              <w:t xml:space="preserve"> Section</w:t>
            </w:r>
          </w:p>
        </w:tc>
        <w:tc>
          <w:tcPr>
            <w:tcW w:w="1800" w:type="dxa"/>
            <w:shd w:val="clear" w:color="auto" w:fill="D9D9D9" w:themeFill="background1" w:themeFillShade="D9"/>
          </w:tcPr>
          <w:p w14:paraId="22A1F276" w14:textId="08EE41F1" w:rsidR="00C5113D" w:rsidRPr="000F0FBC" w:rsidRDefault="00C5113D" w:rsidP="00495DBF">
            <w:pPr>
              <w:jc w:val="center"/>
              <w:rPr>
                <w:rFonts w:ascii="Century Schoolbook" w:hAnsi="Century Schoolbook"/>
                <w:b/>
                <w:bCs/>
                <w:sz w:val="20"/>
                <w:szCs w:val="20"/>
              </w:rPr>
            </w:pPr>
            <w:r w:rsidRPr="000F0FBC">
              <w:rPr>
                <w:rFonts w:ascii="Century Schoolbook" w:hAnsi="Century Schoolbook"/>
                <w:b/>
                <w:bCs/>
                <w:sz w:val="20"/>
                <w:szCs w:val="20"/>
              </w:rPr>
              <w:t>Prov</w:t>
            </w:r>
            <w:r w:rsidR="006C785D">
              <w:rPr>
                <w:rFonts w:ascii="Century Schoolbook" w:hAnsi="Century Schoolbook"/>
                <w:b/>
                <w:bCs/>
                <w:sz w:val="20"/>
                <w:szCs w:val="20"/>
              </w:rPr>
              <w:t>ider</w:t>
            </w:r>
            <w:r w:rsidRPr="000F0FBC">
              <w:rPr>
                <w:rFonts w:ascii="Century Schoolbook" w:hAnsi="Century Schoolbook"/>
                <w:b/>
                <w:bCs/>
                <w:sz w:val="20"/>
                <w:szCs w:val="20"/>
              </w:rPr>
              <w:t xml:space="preserve"> </w:t>
            </w:r>
            <w:r w:rsidR="006C785D">
              <w:rPr>
                <w:rFonts w:ascii="Century Schoolbook" w:hAnsi="Century Schoolbook"/>
                <w:b/>
                <w:bCs/>
                <w:sz w:val="20"/>
                <w:szCs w:val="20"/>
              </w:rPr>
              <w:t>o</w:t>
            </w:r>
            <w:r w:rsidRPr="000F0FBC">
              <w:rPr>
                <w:rFonts w:ascii="Century Schoolbook" w:hAnsi="Century Schoolbook"/>
                <w:b/>
                <w:bCs/>
                <w:sz w:val="20"/>
                <w:szCs w:val="20"/>
              </w:rPr>
              <w:t>f Choice</w:t>
            </w:r>
            <w:r>
              <w:rPr>
                <w:rFonts w:ascii="Century Schoolbook" w:hAnsi="Century Schoolbook"/>
                <w:b/>
                <w:bCs/>
                <w:sz w:val="20"/>
                <w:szCs w:val="20"/>
              </w:rPr>
              <w:t xml:space="preserve"> </w:t>
            </w:r>
            <w:r w:rsidR="006C785D">
              <w:rPr>
                <w:rFonts w:ascii="Century Schoolbook" w:hAnsi="Century Schoolbook"/>
                <w:b/>
                <w:bCs/>
                <w:sz w:val="20"/>
                <w:szCs w:val="20"/>
              </w:rPr>
              <w:br/>
            </w:r>
            <w:r>
              <w:rPr>
                <w:rFonts w:ascii="Century Schoolbook" w:hAnsi="Century Schoolbook"/>
                <w:b/>
                <w:bCs/>
                <w:sz w:val="20"/>
                <w:szCs w:val="20"/>
              </w:rPr>
              <w:t>Section</w:t>
            </w:r>
          </w:p>
        </w:tc>
        <w:tc>
          <w:tcPr>
            <w:tcW w:w="5760" w:type="dxa"/>
            <w:shd w:val="clear" w:color="auto" w:fill="D9D9D9" w:themeFill="background1" w:themeFillShade="D9"/>
          </w:tcPr>
          <w:p w14:paraId="32568A35" w14:textId="77777777" w:rsidR="00C5113D" w:rsidRDefault="00C5113D" w:rsidP="00495DBF">
            <w:pPr>
              <w:jc w:val="center"/>
              <w:rPr>
                <w:rFonts w:ascii="Century Schoolbook" w:hAnsi="Century Schoolbook"/>
                <w:b/>
                <w:bCs/>
                <w:sz w:val="20"/>
                <w:szCs w:val="20"/>
              </w:rPr>
            </w:pPr>
            <w:r w:rsidRPr="000F0FBC">
              <w:rPr>
                <w:rFonts w:ascii="Century Schoolbook" w:hAnsi="Century Schoolbook"/>
                <w:b/>
                <w:bCs/>
                <w:sz w:val="20"/>
                <w:szCs w:val="20"/>
              </w:rPr>
              <w:t>Regional Dialogue</w:t>
            </w:r>
            <w:r>
              <w:rPr>
                <w:rFonts w:ascii="Century Schoolbook" w:hAnsi="Century Schoolbook"/>
                <w:b/>
                <w:bCs/>
                <w:sz w:val="20"/>
                <w:szCs w:val="20"/>
              </w:rPr>
              <w:t xml:space="preserve"> </w:t>
            </w:r>
          </w:p>
          <w:p w14:paraId="39DF55EF" w14:textId="22F1D3C9" w:rsidR="00C5113D" w:rsidRPr="000F0FBC" w:rsidRDefault="00C5113D" w:rsidP="00495DBF">
            <w:pPr>
              <w:jc w:val="center"/>
              <w:rPr>
                <w:rFonts w:ascii="Century Schoolbook" w:hAnsi="Century Schoolbook"/>
                <w:b/>
                <w:bCs/>
                <w:sz w:val="20"/>
                <w:szCs w:val="20"/>
              </w:rPr>
            </w:pPr>
            <w:r>
              <w:rPr>
                <w:rFonts w:ascii="Century Schoolbook" w:hAnsi="Century Schoolbook"/>
                <w:b/>
                <w:bCs/>
                <w:sz w:val="20"/>
                <w:szCs w:val="20"/>
              </w:rPr>
              <w:t>(RD)</w:t>
            </w:r>
          </w:p>
        </w:tc>
        <w:tc>
          <w:tcPr>
            <w:tcW w:w="5310" w:type="dxa"/>
            <w:shd w:val="clear" w:color="auto" w:fill="D9D9D9" w:themeFill="background1" w:themeFillShade="D9"/>
          </w:tcPr>
          <w:p w14:paraId="5D77856F" w14:textId="77777777" w:rsidR="000663CB" w:rsidRDefault="00C5113D" w:rsidP="00495DBF">
            <w:pPr>
              <w:jc w:val="center"/>
              <w:rPr>
                <w:rFonts w:ascii="Century Schoolbook" w:hAnsi="Century Schoolbook"/>
                <w:b/>
                <w:bCs/>
                <w:sz w:val="20"/>
                <w:szCs w:val="20"/>
              </w:rPr>
            </w:pPr>
            <w:r w:rsidRPr="000F0FBC">
              <w:rPr>
                <w:rFonts w:ascii="Century Schoolbook" w:hAnsi="Century Schoolbook"/>
                <w:b/>
                <w:bCs/>
                <w:sz w:val="20"/>
                <w:szCs w:val="20"/>
              </w:rPr>
              <w:t>Provider of Choice</w:t>
            </w:r>
            <w:r>
              <w:rPr>
                <w:rFonts w:ascii="Century Schoolbook" w:hAnsi="Century Schoolbook"/>
                <w:b/>
                <w:bCs/>
                <w:sz w:val="20"/>
                <w:szCs w:val="20"/>
              </w:rPr>
              <w:t xml:space="preserve"> </w:t>
            </w:r>
          </w:p>
          <w:p w14:paraId="47F08D16" w14:textId="24F4C6B3" w:rsidR="00C5113D" w:rsidRPr="000F0FBC" w:rsidRDefault="00C5113D" w:rsidP="00495DBF">
            <w:pPr>
              <w:jc w:val="center"/>
              <w:rPr>
                <w:rFonts w:ascii="Century Schoolbook" w:hAnsi="Century Schoolbook"/>
                <w:b/>
                <w:bCs/>
                <w:sz w:val="20"/>
                <w:szCs w:val="20"/>
              </w:rPr>
            </w:pPr>
            <w:r>
              <w:rPr>
                <w:rFonts w:ascii="Century Schoolbook" w:hAnsi="Century Schoolbook"/>
                <w:b/>
                <w:bCs/>
                <w:sz w:val="20"/>
                <w:szCs w:val="20"/>
              </w:rPr>
              <w:t>(POC)</w:t>
            </w:r>
          </w:p>
        </w:tc>
      </w:tr>
      <w:tr w:rsidR="00FD419D" w:rsidRPr="000F0FBC" w14:paraId="1BC1B8E8" w14:textId="77777777" w:rsidTr="00801E11">
        <w:trPr>
          <w:cantSplit/>
        </w:trPr>
        <w:tc>
          <w:tcPr>
            <w:tcW w:w="1800" w:type="dxa"/>
          </w:tcPr>
          <w:p w14:paraId="7EC4B9C5" w14:textId="4257544D" w:rsidR="00C5113D" w:rsidRPr="000F0FBC" w:rsidRDefault="00C5113D">
            <w:pPr>
              <w:rPr>
                <w:rFonts w:ascii="Century Schoolbook" w:hAnsi="Century Schoolbook"/>
                <w:sz w:val="20"/>
                <w:szCs w:val="20"/>
              </w:rPr>
            </w:pPr>
            <w:r w:rsidRPr="000F0FBC">
              <w:rPr>
                <w:rFonts w:ascii="Century Schoolbook" w:hAnsi="Century Schoolbook"/>
                <w:sz w:val="20"/>
                <w:szCs w:val="20"/>
              </w:rPr>
              <w:t>1. Term</w:t>
            </w:r>
          </w:p>
        </w:tc>
        <w:tc>
          <w:tcPr>
            <w:tcW w:w="1800" w:type="dxa"/>
          </w:tcPr>
          <w:p w14:paraId="5C17B67F" w14:textId="671FA640" w:rsidR="00C5113D" w:rsidRPr="000F0FBC" w:rsidRDefault="00C5113D">
            <w:pPr>
              <w:rPr>
                <w:rFonts w:ascii="Century Schoolbook" w:hAnsi="Century Schoolbook"/>
                <w:sz w:val="20"/>
                <w:szCs w:val="20"/>
              </w:rPr>
            </w:pPr>
            <w:r w:rsidRPr="000F0FBC">
              <w:rPr>
                <w:rFonts w:ascii="Century Schoolbook" w:hAnsi="Century Schoolbook"/>
                <w:sz w:val="20"/>
                <w:szCs w:val="20"/>
              </w:rPr>
              <w:t>1. Term</w:t>
            </w:r>
          </w:p>
        </w:tc>
        <w:tc>
          <w:tcPr>
            <w:tcW w:w="5760" w:type="dxa"/>
          </w:tcPr>
          <w:p w14:paraId="14C110C3" w14:textId="6A3F09B4" w:rsidR="00C5113D" w:rsidRPr="000F0FBC" w:rsidRDefault="001F791C">
            <w:pPr>
              <w:rPr>
                <w:rFonts w:ascii="Century Schoolbook" w:hAnsi="Century Schoolbook"/>
                <w:sz w:val="20"/>
                <w:szCs w:val="20"/>
              </w:rPr>
            </w:pPr>
            <w:r>
              <w:rPr>
                <w:rFonts w:ascii="Century Schoolbook" w:hAnsi="Century Schoolbook"/>
                <w:sz w:val="20"/>
                <w:szCs w:val="20"/>
              </w:rPr>
              <w:t>Twenty-year</w:t>
            </w:r>
            <w:r w:rsidR="00C5113D" w:rsidRPr="000F0FBC">
              <w:rPr>
                <w:rFonts w:ascii="Century Schoolbook" w:hAnsi="Century Schoolbook"/>
                <w:sz w:val="20"/>
                <w:szCs w:val="20"/>
              </w:rPr>
              <w:t xml:space="preserve"> contracts with 17 years of power deliveries.  Expires September 30, 2028.</w:t>
            </w:r>
          </w:p>
        </w:tc>
        <w:tc>
          <w:tcPr>
            <w:tcW w:w="5310" w:type="dxa"/>
          </w:tcPr>
          <w:p w14:paraId="4DACCE86" w14:textId="790557D1" w:rsidR="00C5113D" w:rsidRPr="000F0FBC" w:rsidRDefault="001F791C">
            <w:pPr>
              <w:rPr>
                <w:rFonts w:ascii="Century Schoolbook" w:hAnsi="Century Schoolbook"/>
                <w:sz w:val="20"/>
                <w:szCs w:val="20"/>
              </w:rPr>
            </w:pPr>
            <w:r>
              <w:rPr>
                <w:rFonts w:ascii="Century Schoolbook" w:hAnsi="Century Schoolbook"/>
                <w:sz w:val="20"/>
                <w:szCs w:val="20"/>
              </w:rPr>
              <w:t>Nineteen-year</w:t>
            </w:r>
            <w:r w:rsidR="00C5113D" w:rsidRPr="000F0FBC">
              <w:rPr>
                <w:rFonts w:ascii="Century Schoolbook" w:hAnsi="Century Schoolbook"/>
                <w:sz w:val="20"/>
                <w:szCs w:val="20"/>
              </w:rPr>
              <w:t xml:space="preserve"> contracts with 16 years of power deliveries.  Expires September 30, 2044.</w:t>
            </w:r>
            <w:r w:rsidR="009C3A7E">
              <w:rPr>
                <w:rFonts w:ascii="Century Schoolbook" w:hAnsi="Century Schoolbook"/>
                <w:sz w:val="20"/>
                <w:szCs w:val="20"/>
              </w:rPr>
              <w:t xml:space="preserve">  The list of </w:t>
            </w:r>
            <w:r w:rsidR="00D1364E">
              <w:rPr>
                <w:rFonts w:ascii="Century Schoolbook" w:hAnsi="Century Schoolbook"/>
                <w:sz w:val="20"/>
                <w:szCs w:val="20"/>
              </w:rPr>
              <w:t xml:space="preserve">sections with </w:t>
            </w:r>
            <w:r w:rsidR="009C3A7E">
              <w:rPr>
                <w:rFonts w:ascii="Century Schoolbook" w:hAnsi="Century Schoolbook"/>
                <w:sz w:val="20"/>
                <w:szCs w:val="20"/>
              </w:rPr>
              <w:t>“</w:t>
            </w:r>
            <w:r w:rsidR="00342841">
              <w:rPr>
                <w:rFonts w:ascii="Century Schoolbook" w:hAnsi="Century Schoolbook"/>
                <w:sz w:val="20"/>
                <w:szCs w:val="20"/>
              </w:rPr>
              <w:t>preparatory</w:t>
            </w:r>
            <w:r w:rsidR="009C3A7E">
              <w:rPr>
                <w:rFonts w:ascii="Century Schoolbook" w:hAnsi="Century Schoolbook"/>
                <w:sz w:val="20"/>
                <w:szCs w:val="20"/>
              </w:rPr>
              <w:t xml:space="preserve"> action</w:t>
            </w:r>
            <w:r w:rsidR="00D1364E">
              <w:rPr>
                <w:rFonts w:ascii="Century Schoolbook" w:hAnsi="Century Schoolbook"/>
                <w:sz w:val="20"/>
                <w:szCs w:val="20"/>
              </w:rPr>
              <w:t>s</w:t>
            </w:r>
            <w:r w:rsidR="009C3A7E">
              <w:rPr>
                <w:rFonts w:ascii="Century Schoolbook" w:hAnsi="Century Schoolbook"/>
                <w:sz w:val="20"/>
                <w:szCs w:val="20"/>
              </w:rPr>
              <w:t>” has been removed under POC.</w:t>
            </w:r>
          </w:p>
        </w:tc>
      </w:tr>
      <w:tr w:rsidR="00FD419D" w:rsidRPr="000F0FBC" w14:paraId="74814CA4" w14:textId="77777777" w:rsidTr="00801E11">
        <w:trPr>
          <w:cantSplit/>
        </w:trPr>
        <w:tc>
          <w:tcPr>
            <w:tcW w:w="1800" w:type="dxa"/>
          </w:tcPr>
          <w:p w14:paraId="71DF5274" w14:textId="2B49F3F4" w:rsidR="00C5113D" w:rsidRPr="000F0FBC" w:rsidRDefault="00C5113D">
            <w:pPr>
              <w:rPr>
                <w:rFonts w:ascii="Century Schoolbook" w:hAnsi="Century Schoolbook"/>
                <w:sz w:val="20"/>
                <w:szCs w:val="20"/>
              </w:rPr>
            </w:pPr>
            <w:r w:rsidRPr="000F0FBC">
              <w:rPr>
                <w:rFonts w:ascii="Century Schoolbook" w:hAnsi="Century Schoolbook"/>
                <w:sz w:val="20"/>
                <w:szCs w:val="20"/>
              </w:rPr>
              <w:t>2. Definitions</w:t>
            </w:r>
          </w:p>
        </w:tc>
        <w:tc>
          <w:tcPr>
            <w:tcW w:w="1800" w:type="dxa"/>
          </w:tcPr>
          <w:p w14:paraId="1F6B127F" w14:textId="4F20AA49" w:rsidR="00C5113D" w:rsidRPr="000F0FBC" w:rsidRDefault="00C5113D">
            <w:pPr>
              <w:rPr>
                <w:rFonts w:ascii="Century Schoolbook" w:hAnsi="Century Schoolbook"/>
                <w:sz w:val="20"/>
                <w:szCs w:val="20"/>
              </w:rPr>
            </w:pPr>
            <w:r w:rsidRPr="000F0FBC">
              <w:rPr>
                <w:rFonts w:ascii="Century Schoolbook" w:hAnsi="Century Schoolbook"/>
                <w:sz w:val="20"/>
                <w:szCs w:val="20"/>
              </w:rPr>
              <w:t>2. Definitions</w:t>
            </w:r>
          </w:p>
        </w:tc>
        <w:tc>
          <w:tcPr>
            <w:tcW w:w="5760" w:type="dxa"/>
          </w:tcPr>
          <w:p w14:paraId="69B14A68" w14:textId="508F5008" w:rsidR="00C5113D" w:rsidRPr="000F0FBC" w:rsidRDefault="00C5113D">
            <w:pPr>
              <w:rPr>
                <w:rFonts w:ascii="Century Schoolbook" w:hAnsi="Century Schoolbook"/>
                <w:sz w:val="20"/>
                <w:szCs w:val="20"/>
              </w:rPr>
            </w:pPr>
            <w:r w:rsidRPr="000F0FBC">
              <w:rPr>
                <w:rFonts w:ascii="Century Schoolbook" w:hAnsi="Century Schoolbook"/>
                <w:sz w:val="20"/>
                <w:szCs w:val="20"/>
              </w:rPr>
              <w:t>Definitions reflect tiered rate construct with CHWMs.  Certain definitions bolded that were aligned with, and updated pursuant to, the TRM.</w:t>
            </w:r>
          </w:p>
        </w:tc>
        <w:tc>
          <w:tcPr>
            <w:tcW w:w="5310" w:type="dxa"/>
          </w:tcPr>
          <w:p w14:paraId="5180616E" w14:textId="5AF57D66" w:rsidR="00C5113D" w:rsidRPr="000F0FBC" w:rsidRDefault="00C5113D">
            <w:pPr>
              <w:rPr>
                <w:rFonts w:ascii="Century Schoolbook" w:hAnsi="Century Schoolbook"/>
                <w:sz w:val="20"/>
                <w:szCs w:val="20"/>
              </w:rPr>
            </w:pPr>
            <w:r w:rsidRPr="000F0FBC">
              <w:rPr>
                <w:rFonts w:ascii="Century Schoolbook" w:hAnsi="Century Schoolbook"/>
                <w:sz w:val="20"/>
                <w:szCs w:val="20"/>
              </w:rPr>
              <w:t>Definitions update</w:t>
            </w:r>
            <w:r>
              <w:rPr>
                <w:rFonts w:ascii="Century Schoolbook" w:hAnsi="Century Schoolbook"/>
                <w:sz w:val="20"/>
                <w:szCs w:val="20"/>
              </w:rPr>
              <w:t>d</w:t>
            </w:r>
            <w:r w:rsidRPr="000F0FBC">
              <w:rPr>
                <w:rFonts w:ascii="Century Schoolbook" w:hAnsi="Century Schoolbook"/>
                <w:sz w:val="20"/>
                <w:szCs w:val="20"/>
              </w:rPr>
              <w:t xml:space="preserve"> to reflect </w:t>
            </w:r>
            <w:r w:rsidR="001E6DEF">
              <w:rPr>
                <w:rFonts w:ascii="Century Schoolbook" w:hAnsi="Century Schoolbook"/>
                <w:sz w:val="20"/>
                <w:szCs w:val="20"/>
              </w:rPr>
              <w:t>POC</w:t>
            </w:r>
            <w:r w:rsidRPr="000F0FBC">
              <w:rPr>
                <w:rFonts w:ascii="Century Schoolbook" w:hAnsi="Century Schoolbook"/>
                <w:sz w:val="20"/>
                <w:szCs w:val="20"/>
              </w:rPr>
              <w:t xml:space="preserve"> product design and rates. </w:t>
            </w:r>
            <w:r w:rsidR="00CE3A20">
              <w:rPr>
                <w:rFonts w:ascii="Century Schoolbook" w:hAnsi="Century Schoolbook"/>
                <w:sz w:val="20"/>
                <w:szCs w:val="20"/>
              </w:rPr>
              <w:t xml:space="preserve"> </w:t>
            </w:r>
            <w:r w:rsidR="00AD7CD9">
              <w:rPr>
                <w:rFonts w:ascii="Century Schoolbook" w:hAnsi="Century Schoolbook"/>
                <w:sz w:val="20"/>
                <w:szCs w:val="20"/>
              </w:rPr>
              <w:t xml:space="preserve">Certain </w:t>
            </w:r>
            <w:r w:rsidR="0020399A">
              <w:rPr>
                <w:rFonts w:ascii="Century Schoolbook" w:hAnsi="Century Schoolbook"/>
                <w:sz w:val="20"/>
                <w:szCs w:val="20"/>
              </w:rPr>
              <w:t>d</w:t>
            </w:r>
            <w:r w:rsidRPr="000F0FBC">
              <w:rPr>
                <w:rFonts w:ascii="Century Schoolbook" w:hAnsi="Century Schoolbook"/>
                <w:sz w:val="20"/>
                <w:szCs w:val="20"/>
              </w:rPr>
              <w:t xml:space="preserve">efinitions </w:t>
            </w:r>
            <w:r w:rsidR="00445F66">
              <w:rPr>
                <w:rFonts w:ascii="Century Schoolbook" w:hAnsi="Century Schoolbook"/>
                <w:sz w:val="20"/>
                <w:szCs w:val="20"/>
              </w:rPr>
              <w:t xml:space="preserve">are </w:t>
            </w:r>
            <w:r w:rsidRPr="000F0FBC">
              <w:rPr>
                <w:rFonts w:ascii="Century Schoolbook" w:hAnsi="Century Schoolbook"/>
                <w:sz w:val="20"/>
                <w:szCs w:val="20"/>
              </w:rPr>
              <w:t>being developed in concert with PRDM development</w:t>
            </w:r>
            <w:r w:rsidR="00EF038D">
              <w:rPr>
                <w:rFonts w:ascii="Century Schoolbook" w:hAnsi="Century Schoolbook"/>
                <w:sz w:val="20"/>
                <w:szCs w:val="20"/>
              </w:rPr>
              <w:t xml:space="preserve">. </w:t>
            </w:r>
            <w:r w:rsidR="00CE3A20">
              <w:rPr>
                <w:rFonts w:ascii="Century Schoolbook" w:hAnsi="Century Schoolbook"/>
                <w:sz w:val="20"/>
                <w:szCs w:val="20"/>
              </w:rPr>
              <w:t xml:space="preserve"> </w:t>
            </w:r>
            <w:r w:rsidR="00EF038D">
              <w:rPr>
                <w:rFonts w:ascii="Century Schoolbook" w:hAnsi="Century Schoolbook"/>
                <w:sz w:val="20"/>
                <w:szCs w:val="20"/>
              </w:rPr>
              <w:t xml:space="preserve">POC </w:t>
            </w:r>
            <w:r w:rsidR="0020399A">
              <w:rPr>
                <w:rFonts w:ascii="Century Schoolbook" w:hAnsi="Century Schoolbook"/>
                <w:sz w:val="20"/>
                <w:szCs w:val="20"/>
              </w:rPr>
              <w:t xml:space="preserve">contracts </w:t>
            </w:r>
            <w:r w:rsidR="00EF038D">
              <w:rPr>
                <w:rFonts w:ascii="Century Schoolbook" w:hAnsi="Century Schoolbook"/>
                <w:sz w:val="20"/>
                <w:szCs w:val="20"/>
              </w:rPr>
              <w:t xml:space="preserve">will continue to bold certain terms that </w:t>
            </w:r>
            <w:r w:rsidR="0020399A">
              <w:rPr>
                <w:rFonts w:ascii="Century Schoolbook" w:hAnsi="Century Schoolbook"/>
                <w:sz w:val="20"/>
                <w:szCs w:val="20"/>
              </w:rPr>
              <w:t xml:space="preserve">are </w:t>
            </w:r>
            <w:r w:rsidR="00EF038D">
              <w:rPr>
                <w:rFonts w:ascii="Century Schoolbook" w:hAnsi="Century Schoolbook"/>
                <w:sz w:val="20"/>
                <w:szCs w:val="20"/>
              </w:rPr>
              <w:t xml:space="preserve">both </w:t>
            </w:r>
            <w:r w:rsidR="0020399A">
              <w:rPr>
                <w:rFonts w:ascii="Century Schoolbook" w:hAnsi="Century Schoolbook"/>
                <w:sz w:val="20"/>
                <w:szCs w:val="20"/>
              </w:rPr>
              <w:t xml:space="preserve">defined in the </w:t>
            </w:r>
            <w:r w:rsidR="00EF038D">
              <w:rPr>
                <w:rFonts w:ascii="Century Schoolbook" w:hAnsi="Century Schoolbook"/>
                <w:sz w:val="20"/>
                <w:szCs w:val="20"/>
              </w:rPr>
              <w:t>PRDM</w:t>
            </w:r>
            <w:r w:rsidR="00AD7CD9">
              <w:rPr>
                <w:rFonts w:ascii="Century Schoolbook" w:hAnsi="Century Schoolbook"/>
                <w:sz w:val="20"/>
                <w:szCs w:val="20"/>
              </w:rPr>
              <w:t xml:space="preserve"> </w:t>
            </w:r>
            <w:r w:rsidR="0020399A" w:rsidRPr="0020399A">
              <w:rPr>
                <w:rFonts w:ascii="Century Schoolbook" w:hAnsi="Century Schoolbook"/>
                <w:i/>
                <w:iCs/>
                <w:sz w:val="20"/>
                <w:szCs w:val="20"/>
              </w:rPr>
              <w:t>and</w:t>
            </w:r>
            <w:r w:rsidR="0020399A">
              <w:rPr>
                <w:rFonts w:ascii="Century Schoolbook" w:hAnsi="Century Schoolbook"/>
                <w:sz w:val="20"/>
                <w:szCs w:val="20"/>
              </w:rPr>
              <w:t xml:space="preserve"> the </w:t>
            </w:r>
            <w:r w:rsidR="006E06E1">
              <w:rPr>
                <w:rFonts w:ascii="Century Schoolbook" w:hAnsi="Century Schoolbook"/>
                <w:sz w:val="20"/>
                <w:szCs w:val="20"/>
              </w:rPr>
              <w:t>p</w:t>
            </w:r>
            <w:r w:rsidR="0020399A">
              <w:rPr>
                <w:rFonts w:ascii="Century Schoolbook" w:hAnsi="Century Schoolbook"/>
                <w:sz w:val="20"/>
                <w:szCs w:val="20"/>
              </w:rPr>
              <w:t>arties agree should conform to the PRDM if the terms were to be revised</w:t>
            </w:r>
            <w:r w:rsidR="00EF038D">
              <w:rPr>
                <w:rFonts w:ascii="Century Schoolbook" w:hAnsi="Century Schoolbook"/>
                <w:sz w:val="20"/>
                <w:szCs w:val="20"/>
              </w:rPr>
              <w:t>.</w:t>
            </w:r>
            <w:r w:rsidR="00285977">
              <w:rPr>
                <w:rFonts w:ascii="Century Schoolbook" w:hAnsi="Century Schoolbook"/>
                <w:sz w:val="20"/>
                <w:szCs w:val="20"/>
              </w:rPr>
              <w:t xml:space="preserve"> </w:t>
            </w:r>
            <w:r w:rsidR="00CE3A20">
              <w:rPr>
                <w:rFonts w:ascii="Century Schoolbook" w:hAnsi="Century Schoolbook"/>
                <w:sz w:val="20"/>
                <w:szCs w:val="20"/>
              </w:rPr>
              <w:t xml:space="preserve"> </w:t>
            </w:r>
            <w:r w:rsidR="0020399A">
              <w:rPr>
                <w:rFonts w:ascii="Century Schoolbook" w:hAnsi="Century Schoolbook"/>
                <w:sz w:val="20"/>
                <w:szCs w:val="20"/>
              </w:rPr>
              <w:t>Introduces new joint operating entity (JOE)-specific definitions.</w:t>
            </w:r>
          </w:p>
        </w:tc>
      </w:tr>
      <w:tr w:rsidR="00FD419D" w:rsidRPr="000F0FBC" w14:paraId="31158022" w14:textId="77777777" w:rsidTr="00801E11">
        <w:trPr>
          <w:cantSplit/>
        </w:trPr>
        <w:tc>
          <w:tcPr>
            <w:tcW w:w="1800" w:type="dxa"/>
          </w:tcPr>
          <w:p w14:paraId="1F66267E" w14:textId="10E4FFF3" w:rsidR="00C5113D" w:rsidRPr="000F0FBC" w:rsidRDefault="00C5113D" w:rsidP="00DF4228">
            <w:pPr>
              <w:rPr>
                <w:rFonts w:ascii="Century Schoolbook" w:hAnsi="Century Schoolbook"/>
                <w:sz w:val="20"/>
                <w:szCs w:val="20"/>
              </w:rPr>
            </w:pPr>
            <w:r w:rsidRPr="000F0FBC">
              <w:rPr>
                <w:rFonts w:ascii="Century Schoolbook" w:hAnsi="Century Schoolbook"/>
                <w:sz w:val="20"/>
                <w:szCs w:val="20"/>
              </w:rPr>
              <w:t>3. Product Purchase Obligation</w:t>
            </w:r>
          </w:p>
        </w:tc>
        <w:tc>
          <w:tcPr>
            <w:tcW w:w="1800" w:type="dxa"/>
          </w:tcPr>
          <w:p w14:paraId="2CDF6D71" w14:textId="333199C6" w:rsidR="00C5113D" w:rsidRPr="000F0FBC" w:rsidRDefault="00C5113D" w:rsidP="00DF4228">
            <w:pPr>
              <w:rPr>
                <w:rFonts w:ascii="Century Schoolbook" w:hAnsi="Century Schoolbook"/>
                <w:sz w:val="20"/>
                <w:szCs w:val="20"/>
              </w:rPr>
            </w:pPr>
            <w:r w:rsidRPr="000F0FBC">
              <w:rPr>
                <w:rFonts w:ascii="Century Schoolbook" w:hAnsi="Century Schoolbook"/>
                <w:sz w:val="20"/>
                <w:szCs w:val="20"/>
              </w:rPr>
              <w:t>3. Product Purchase Obligation</w:t>
            </w:r>
          </w:p>
        </w:tc>
        <w:tc>
          <w:tcPr>
            <w:tcW w:w="5760" w:type="dxa"/>
          </w:tcPr>
          <w:p w14:paraId="12764E56" w14:textId="09D01831" w:rsidR="00C5113D" w:rsidRPr="000F0FBC" w:rsidRDefault="00C5113D" w:rsidP="00DF4228">
            <w:pPr>
              <w:rPr>
                <w:rFonts w:ascii="Century Schoolbook" w:hAnsi="Century Schoolbook"/>
                <w:sz w:val="20"/>
                <w:szCs w:val="20"/>
              </w:rPr>
            </w:pPr>
            <w:r>
              <w:rPr>
                <w:rFonts w:ascii="Century Schoolbook" w:hAnsi="Century Schoolbook"/>
                <w:sz w:val="20"/>
                <w:szCs w:val="20"/>
              </w:rPr>
              <w:t>Establishe</w:t>
            </w:r>
            <w:r w:rsidR="00AF7BA4">
              <w:rPr>
                <w:rFonts w:ascii="Century Schoolbook" w:hAnsi="Century Schoolbook"/>
                <w:sz w:val="20"/>
                <w:szCs w:val="20"/>
              </w:rPr>
              <w:t>d</w:t>
            </w:r>
            <w:r>
              <w:rPr>
                <w:rFonts w:ascii="Century Schoolbook" w:hAnsi="Century Schoolbook"/>
                <w:sz w:val="20"/>
                <w:szCs w:val="20"/>
              </w:rPr>
              <w:t xml:space="preserve"> Load Following, Block and Slice/Block offerings.  </w:t>
            </w:r>
            <w:r w:rsidR="00DB621B">
              <w:rPr>
                <w:rFonts w:ascii="Century Schoolbook" w:hAnsi="Century Schoolbook"/>
                <w:sz w:val="20"/>
                <w:szCs w:val="20"/>
              </w:rPr>
              <w:t>RD</w:t>
            </w:r>
            <w:r>
              <w:rPr>
                <w:rFonts w:ascii="Century Schoolbook" w:hAnsi="Century Schoolbook"/>
                <w:sz w:val="20"/>
                <w:szCs w:val="20"/>
              </w:rPr>
              <w:t xml:space="preserve"> </w:t>
            </w:r>
            <w:r w:rsidR="00486FFB">
              <w:rPr>
                <w:rFonts w:ascii="Century Schoolbook" w:hAnsi="Century Schoolbook"/>
                <w:sz w:val="20"/>
                <w:szCs w:val="20"/>
              </w:rPr>
              <w:t>i</w:t>
            </w:r>
            <w:r w:rsidR="001E5B83">
              <w:rPr>
                <w:rFonts w:ascii="Century Schoolbook" w:hAnsi="Century Schoolbook"/>
                <w:sz w:val="20"/>
                <w:szCs w:val="20"/>
              </w:rPr>
              <w:t>s</w:t>
            </w:r>
            <w:r>
              <w:rPr>
                <w:rFonts w:ascii="Century Schoolbook" w:hAnsi="Century Schoolbook"/>
                <w:sz w:val="20"/>
                <w:szCs w:val="20"/>
              </w:rPr>
              <w:t xml:space="preserve"> a “Take Or Pay” contract, </w:t>
            </w:r>
            <w:r w:rsidR="00486FFB">
              <w:rPr>
                <w:rFonts w:ascii="Century Schoolbook" w:hAnsi="Century Schoolbook"/>
                <w:sz w:val="20"/>
                <w:szCs w:val="20"/>
              </w:rPr>
              <w:t>obligating</w:t>
            </w:r>
            <w:r>
              <w:rPr>
                <w:rFonts w:ascii="Century Schoolbook" w:hAnsi="Century Schoolbook"/>
                <w:sz w:val="20"/>
                <w:szCs w:val="20"/>
              </w:rPr>
              <w:t xml:space="preserve"> customer</w:t>
            </w:r>
            <w:r w:rsidR="001E5B83">
              <w:rPr>
                <w:rFonts w:ascii="Century Schoolbook" w:hAnsi="Century Schoolbook"/>
                <w:sz w:val="20"/>
                <w:szCs w:val="20"/>
              </w:rPr>
              <w:t>s</w:t>
            </w:r>
            <w:r>
              <w:rPr>
                <w:rFonts w:ascii="Century Schoolbook" w:hAnsi="Century Schoolbook"/>
                <w:sz w:val="20"/>
                <w:szCs w:val="20"/>
              </w:rPr>
              <w:t xml:space="preserve"> to pay for </w:t>
            </w:r>
            <w:r w:rsidR="00486FFB">
              <w:rPr>
                <w:rFonts w:ascii="Century Schoolbook" w:hAnsi="Century Schoolbook"/>
                <w:sz w:val="20"/>
                <w:szCs w:val="20"/>
              </w:rPr>
              <w:t>the amount of Firm Requirements P</w:t>
            </w:r>
            <w:r>
              <w:rPr>
                <w:rFonts w:ascii="Century Schoolbook" w:hAnsi="Century Schoolbook"/>
                <w:sz w:val="20"/>
                <w:szCs w:val="20"/>
              </w:rPr>
              <w:t>ower it</w:t>
            </w:r>
            <w:r w:rsidR="001E5B83">
              <w:rPr>
                <w:rFonts w:ascii="Century Schoolbook" w:hAnsi="Century Schoolbook"/>
                <w:sz w:val="20"/>
                <w:szCs w:val="20"/>
              </w:rPr>
              <w:t xml:space="preserve"> </w:t>
            </w:r>
            <w:r w:rsidR="00486FFB">
              <w:rPr>
                <w:rFonts w:ascii="Century Schoolbook" w:hAnsi="Century Schoolbook"/>
                <w:sz w:val="20"/>
                <w:szCs w:val="20"/>
              </w:rPr>
              <w:t>i</w:t>
            </w:r>
            <w:r w:rsidR="001E5B83">
              <w:rPr>
                <w:rFonts w:ascii="Century Schoolbook" w:hAnsi="Century Schoolbook"/>
                <w:sz w:val="20"/>
                <w:szCs w:val="20"/>
              </w:rPr>
              <w:t>s</w:t>
            </w:r>
            <w:r>
              <w:rPr>
                <w:rFonts w:ascii="Century Schoolbook" w:hAnsi="Century Schoolbook"/>
                <w:sz w:val="20"/>
                <w:szCs w:val="20"/>
              </w:rPr>
              <w:t xml:space="preserve"> co</w:t>
            </w:r>
            <w:r w:rsidR="00486FFB">
              <w:rPr>
                <w:rFonts w:ascii="Century Schoolbook" w:hAnsi="Century Schoolbook"/>
                <w:sz w:val="20"/>
                <w:szCs w:val="20"/>
              </w:rPr>
              <w:t>mmitted</w:t>
            </w:r>
            <w:r>
              <w:rPr>
                <w:rFonts w:ascii="Century Schoolbook" w:hAnsi="Century Schoolbook"/>
                <w:sz w:val="20"/>
                <w:szCs w:val="20"/>
              </w:rPr>
              <w:t xml:space="preserve"> to</w:t>
            </w:r>
            <w:r w:rsidR="00486FFB">
              <w:rPr>
                <w:rFonts w:ascii="Century Schoolbook" w:hAnsi="Century Schoolbook"/>
                <w:sz w:val="20"/>
                <w:szCs w:val="20"/>
              </w:rPr>
              <w:t xml:space="preserve"> purchase</w:t>
            </w:r>
            <w:r>
              <w:rPr>
                <w:rFonts w:ascii="Century Schoolbook" w:hAnsi="Century Schoolbook"/>
                <w:sz w:val="20"/>
                <w:szCs w:val="20"/>
              </w:rPr>
              <w:t>, whether</w:t>
            </w:r>
            <w:r w:rsidR="00486FFB">
              <w:rPr>
                <w:rFonts w:ascii="Century Schoolbook" w:hAnsi="Century Schoolbook"/>
                <w:sz w:val="20"/>
                <w:szCs w:val="20"/>
              </w:rPr>
              <w:t xml:space="preserve"> or not customers took actual</w:t>
            </w:r>
            <w:r>
              <w:rPr>
                <w:rFonts w:ascii="Century Schoolbook" w:hAnsi="Century Schoolbook"/>
                <w:sz w:val="20"/>
                <w:szCs w:val="20"/>
              </w:rPr>
              <w:t xml:space="preserve"> deliver</w:t>
            </w:r>
            <w:r w:rsidR="00486FFB">
              <w:rPr>
                <w:rFonts w:ascii="Century Schoolbook" w:hAnsi="Century Schoolbook"/>
                <w:sz w:val="20"/>
                <w:szCs w:val="20"/>
              </w:rPr>
              <w:t>y of such power</w:t>
            </w:r>
            <w:r>
              <w:rPr>
                <w:rFonts w:ascii="Century Schoolbook" w:hAnsi="Century Schoolbook"/>
                <w:sz w:val="20"/>
                <w:szCs w:val="20"/>
              </w:rPr>
              <w:t>.  Much of section 3 discusse</w:t>
            </w:r>
            <w:r w:rsidR="001E5B83">
              <w:rPr>
                <w:rFonts w:ascii="Century Schoolbook" w:hAnsi="Century Schoolbook"/>
                <w:sz w:val="20"/>
                <w:szCs w:val="20"/>
              </w:rPr>
              <w:t>d</w:t>
            </w:r>
            <w:r>
              <w:rPr>
                <w:rFonts w:ascii="Century Schoolbook" w:hAnsi="Century Schoolbook"/>
                <w:sz w:val="20"/>
                <w:szCs w:val="20"/>
              </w:rPr>
              <w:t xml:space="preserve"> the application, shaping of, and rules appli</w:t>
            </w:r>
            <w:r w:rsidR="00E06DA8">
              <w:rPr>
                <w:rFonts w:ascii="Century Schoolbook" w:hAnsi="Century Schoolbook"/>
                <w:sz w:val="20"/>
                <w:szCs w:val="20"/>
              </w:rPr>
              <w:t>ed</w:t>
            </w:r>
            <w:r>
              <w:rPr>
                <w:rFonts w:ascii="Century Schoolbook" w:hAnsi="Century Schoolbook"/>
                <w:sz w:val="20"/>
                <w:szCs w:val="20"/>
              </w:rPr>
              <w:t xml:space="preserve"> to Dedicated Resources. </w:t>
            </w:r>
          </w:p>
        </w:tc>
        <w:tc>
          <w:tcPr>
            <w:tcW w:w="5310" w:type="dxa"/>
          </w:tcPr>
          <w:p w14:paraId="5FA7FB41" w14:textId="27DC0D71" w:rsidR="00C5113D" w:rsidRPr="000F0FBC" w:rsidRDefault="007D3E20" w:rsidP="00DF4228">
            <w:pPr>
              <w:rPr>
                <w:rFonts w:ascii="Century Schoolbook" w:hAnsi="Century Schoolbook"/>
                <w:sz w:val="20"/>
                <w:szCs w:val="20"/>
              </w:rPr>
            </w:pPr>
            <w:r>
              <w:rPr>
                <w:rFonts w:ascii="Century Schoolbook" w:hAnsi="Century Schoolbook"/>
                <w:sz w:val="20"/>
                <w:szCs w:val="20"/>
              </w:rPr>
              <w:t>POC r</w:t>
            </w:r>
            <w:r w:rsidR="00486FFB">
              <w:rPr>
                <w:rFonts w:ascii="Century Schoolbook" w:hAnsi="Century Schoolbook"/>
                <w:sz w:val="20"/>
                <w:szCs w:val="20"/>
              </w:rPr>
              <w:t xml:space="preserve">emains </w:t>
            </w:r>
            <w:r>
              <w:rPr>
                <w:rFonts w:ascii="Century Schoolbook" w:hAnsi="Century Schoolbook"/>
                <w:sz w:val="20"/>
                <w:szCs w:val="20"/>
              </w:rPr>
              <w:t xml:space="preserve">a </w:t>
            </w:r>
            <w:r w:rsidR="00486FFB">
              <w:rPr>
                <w:rFonts w:ascii="Century Schoolbook" w:hAnsi="Century Schoolbook"/>
                <w:sz w:val="20"/>
                <w:szCs w:val="20"/>
              </w:rPr>
              <w:t>Take or Pay</w:t>
            </w:r>
            <w:r>
              <w:rPr>
                <w:rFonts w:ascii="Century Schoolbook" w:hAnsi="Century Schoolbook"/>
                <w:sz w:val="20"/>
                <w:szCs w:val="20"/>
              </w:rPr>
              <w:t xml:space="preserve"> contract. BPA</w:t>
            </w:r>
            <w:r w:rsidR="00486FFB">
              <w:rPr>
                <w:rFonts w:ascii="Century Schoolbook" w:hAnsi="Century Schoolbook"/>
                <w:sz w:val="20"/>
                <w:szCs w:val="20"/>
              </w:rPr>
              <w:t xml:space="preserve"> </w:t>
            </w:r>
            <w:r w:rsidR="00C5113D">
              <w:rPr>
                <w:rFonts w:ascii="Century Schoolbook" w:hAnsi="Century Schoolbook"/>
                <w:sz w:val="20"/>
                <w:szCs w:val="20"/>
              </w:rPr>
              <w:t>change</w:t>
            </w:r>
            <w:r>
              <w:rPr>
                <w:rFonts w:ascii="Century Schoolbook" w:hAnsi="Century Schoolbook"/>
                <w:sz w:val="20"/>
                <w:szCs w:val="20"/>
              </w:rPr>
              <w:t>s</w:t>
            </w:r>
            <w:r w:rsidR="00C5113D">
              <w:rPr>
                <w:rFonts w:ascii="Century Schoolbook" w:hAnsi="Century Schoolbook"/>
                <w:sz w:val="20"/>
                <w:szCs w:val="20"/>
              </w:rPr>
              <w:t xml:space="preserve"> from </w:t>
            </w:r>
            <w:r>
              <w:rPr>
                <w:rFonts w:ascii="Century Schoolbook" w:hAnsi="Century Schoolbook"/>
                <w:sz w:val="20"/>
                <w:szCs w:val="20"/>
              </w:rPr>
              <w:t xml:space="preserve">the RD concept of </w:t>
            </w:r>
            <w:r w:rsidR="00C5113D">
              <w:rPr>
                <w:rFonts w:ascii="Century Schoolbook" w:hAnsi="Century Schoolbook"/>
                <w:sz w:val="20"/>
                <w:szCs w:val="20"/>
              </w:rPr>
              <w:t>Unspecified Resources to Committed Power Purchase</w:t>
            </w:r>
            <w:r w:rsidR="00B707BA">
              <w:rPr>
                <w:rFonts w:ascii="Century Schoolbook" w:hAnsi="Century Schoolbook"/>
                <w:sz w:val="20"/>
                <w:szCs w:val="20"/>
              </w:rPr>
              <w:t xml:space="preserve"> Amounts</w:t>
            </w:r>
            <w:r>
              <w:rPr>
                <w:rFonts w:ascii="Century Schoolbook" w:hAnsi="Century Schoolbook"/>
                <w:sz w:val="20"/>
                <w:szCs w:val="20"/>
              </w:rPr>
              <w:t xml:space="preserve"> under POC.  BPA</w:t>
            </w:r>
            <w:r w:rsidR="00C5113D">
              <w:rPr>
                <w:rFonts w:ascii="Century Schoolbook" w:hAnsi="Century Schoolbook"/>
                <w:sz w:val="20"/>
                <w:szCs w:val="20"/>
              </w:rPr>
              <w:t xml:space="preserve"> </w:t>
            </w:r>
            <w:r w:rsidR="00573AEE">
              <w:rPr>
                <w:rFonts w:ascii="Century Schoolbook" w:hAnsi="Century Schoolbook"/>
                <w:sz w:val="20"/>
                <w:szCs w:val="20"/>
              </w:rPr>
              <w:t xml:space="preserve">increases the </w:t>
            </w:r>
            <w:r w:rsidR="00486FFB">
              <w:rPr>
                <w:rFonts w:ascii="Century Schoolbook" w:hAnsi="Century Schoolbook"/>
                <w:sz w:val="20"/>
                <w:szCs w:val="20"/>
              </w:rPr>
              <w:t xml:space="preserve">power </w:t>
            </w:r>
            <w:r w:rsidR="00C5113D" w:rsidRPr="00C07D43">
              <w:rPr>
                <w:rFonts w:ascii="Century Schoolbook" w:hAnsi="Century Schoolbook"/>
                <w:sz w:val="20"/>
                <w:szCs w:val="20"/>
              </w:rPr>
              <w:t xml:space="preserve">threshold </w:t>
            </w:r>
            <w:r w:rsidR="00486FFB" w:rsidRPr="00C07D43">
              <w:rPr>
                <w:rFonts w:ascii="Century Schoolbook" w:hAnsi="Century Schoolbook"/>
                <w:sz w:val="20"/>
                <w:szCs w:val="20"/>
              </w:rPr>
              <w:t xml:space="preserve">from 200 kW under RD to 1 MW </w:t>
            </w:r>
            <w:r w:rsidR="00C5113D" w:rsidRPr="00C07D43">
              <w:rPr>
                <w:rFonts w:ascii="Century Schoolbook" w:hAnsi="Century Schoolbook"/>
                <w:sz w:val="20"/>
                <w:szCs w:val="20"/>
              </w:rPr>
              <w:t>of resources that need to be listed in the contract</w:t>
            </w:r>
            <w:r>
              <w:rPr>
                <w:rFonts w:ascii="Century Schoolbook" w:hAnsi="Century Schoolbook"/>
                <w:sz w:val="20"/>
                <w:szCs w:val="20"/>
              </w:rPr>
              <w:t xml:space="preserve">.  Section 3 adds </w:t>
            </w:r>
            <w:r w:rsidR="00C5113D">
              <w:rPr>
                <w:rFonts w:ascii="Century Schoolbook" w:hAnsi="Century Schoolbook"/>
                <w:sz w:val="20"/>
                <w:szCs w:val="20"/>
              </w:rPr>
              <w:t xml:space="preserve">Tier 1 Allowance Amount. </w:t>
            </w:r>
          </w:p>
        </w:tc>
      </w:tr>
      <w:tr w:rsidR="00FD419D" w:rsidRPr="000F0FBC" w14:paraId="1350E217" w14:textId="77777777" w:rsidTr="00801E11">
        <w:trPr>
          <w:cantSplit/>
        </w:trPr>
        <w:tc>
          <w:tcPr>
            <w:tcW w:w="1800" w:type="dxa"/>
          </w:tcPr>
          <w:p w14:paraId="435FA01B" w14:textId="3C3BB78A"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 xml:space="preserve">4. Block Product (or </w:t>
            </w:r>
            <w:r>
              <w:rPr>
                <w:rFonts w:ascii="Century Schoolbook" w:hAnsi="Century Schoolbook"/>
                <w:sz w:val="20"/>
                <w:szCs w:val="20"/>
              </w:rPr>
              <w:t>“</w:t>
            </w:r>
            <w:r w:rsidRPr="000F0FBC">
              <w:rPr>
                <w:rFonts w:ascii="Century Schoolbook" w:hAnsi="Century Schoolbook"/>
                <w:sz w:val="20"/>
                <w:szCs w:val="20"/>
              </w:rPr>
              <w:t>Intentionally Left Blank</w:t>
            </w:r>
            <w:r>
              <w:rPr>
                <w:rFonts w:ascii="Century Schoolbook" w:hAnsi="Century Schoolbook"/>
                <w:sz w:val="20"/>
                <w:szCs w:val="20"/>
              </w:rPr>
              <w:t>” in LF and Block</w:t>
            </w:r>
            <w:r w:rsidRPr="000F0FBC">
              <w:rPr>
                <w:rFonts w:ascii="Century Schoolbook" w:hAnsi="Century Schoolbook"/>
                <w:sz w:val="20"/>
                <w:szCs w:val="20"/>
              </w:rPr>
              <w:t>)</w:t>
            </w:r>
          </w:p>
        </w:tc>
        <w:tc>
          <w:tcPr>
            <w:tcW w:w="1800" w:type="dxa"/>
          </w:tcPr>
          <w:p w14:paraId="468E08DF" w14:textId="59FCEDB1"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 xml:space="preserve">4. Block Product (or </w:t>
            </w:r>
            <w:r>
              <w:rPr>
                <w:rFonts w:ascii="Century Schoolbook" w:hAnsi="Century Schoolbook"/>
                <w:sz w:val="20"/>
                <w:szCs w:val="20"/>
              </w:rPr>
              <w:t>“</w:t>
            </w:r>
            <w:r w:rsidRPr="000F0FBC">
              <w:rPr>
                <w:rFonts w:ascii="Century Schoolbook" w:hAnsi="Century Schoolbook"/>
                <w:sz w:val="20"/>
                <w:szCs w:val="20"/>
              </w:rPr>
              <w:t>Intentionally Left Blank</w:t>
            </w:r>
            <w:r>
              <w:rPr>
                <w:rFonts w:ascii="Century Schoolbook" w:hAnsi="Century Schoolbook"/>
                <w:sz w:val="20"/>
                <w:szCs w:val="20"/>
              </w:rPr>
              <w:t>” in LF and Block</w:t>
            </w:r>
            <w:r w:rsidRPr="000F0FBC">
              <w:rPr>
                <w:rFonts w:ascii="Century Schoolbook" w:hAnsi="Century Schoolbook"/>
                <w:sz w:val="20"/>
                <w:szCs w:val="20"/>
              </w:rPr>
              <w:t>)</w:t>
            </w:r>
          </w:p>
        </w:tc>
        <w:tc>
          <w:tcPr>
            <w:tcW w:w="5760" w:type="dxa"/>
          </w:tcPr>
          <w:p w14:paraId="51F71D6A" w14:textId="329F38C5" w:rsidR="00C5113D" w:rsidRPr="000F0FBC" w:rsidRDefault="00C5113D" w:rsidP="00000B4D">
            <w:pPr>
              <w:rPr>
                <w:rFonts w:ascii="Century Schoolbook" w:hAnsi="Century Schoolbook"/>
                <w:sz w:val="20"/>
                <w:szCs w:val="20"/>
              </w:rPr>
            </w:pPr>
            <w:r>
              <w:rPr>
                <w:rFonts w:ascii="Century Schoolbook" w:hAnsi="Century Schoolbook"/>
                <w:sz w:val="20"/>
                <w:szCs w:val="20"/>
              </w:rPr>
              <w:t>Describe</w:t>
            </w:r>
            <w:r w:rsidR="00AF7BA4">
              <w:rPr>
                <w:rFonts w:ascii="Century Schoolbook" w:hAnsi="Century Schoolbook"/>
                <w:sz w:val="20"/>
                <w:szCs w:val="20"/>
              </w:rPr>
              <w:t>d</w:t>
            </w:r>
            <w:r>
              <w:rPr>
                <w:rFonts w:ascii="Century Schoolbook" w:hAnsi="Century Schoolbook"/>
                <w:sz w:val="20"/>
                <w:szCs w:val="20"/>
              </w:rPr>
              <w:t xml:space="preserve"> the Block Product for Slice/Block customers, including Tier 1 and, if applicable, Tier 2 Block Amounts.  Describe</w:t>
            </w:r>
            <w:r w:rsidR="00AF7BA4">
              <w:rPr>
                <w:rFonts w:ascii="Century Schoolbook" w:hAnsi="Century Schoolbook"/>
                <w:sz w:val="20"/>
                <w:szCs w:val="20"/>
              </w:rPr>
              <w:t>d</w:t>
            </w:r>
            <w:r>
              <w:rPr>
                <w:rFonts w:ascii="Century Schoolbook" w:hAnsi="Century Schoolbook"/>
                <w:sz w:val="20"/>
                <w:szCs w:val="20"/>
              </w:rPr>
              <w:t xml:space="preserve"> allowable Block amount shapes.</w:t>
            </w:r>
          </w:p>
        </w:tc>
        <w:tc>
          <w:tcPr>
            <w:tcW w:w="5310" w:type="dxa"/>
          </w:tcPr>
          <w:p w14:paraId="10305383" w14:textId="09F8EBE8" w:rsidR="00C5113D" w:rsidRPr="000F0FBC" w:rsidRDefault="00C5113D" w:rsidP="00000B4D">
            <w:pPr>
              <w:rPr>
                <w:rFonts w:ascii="Century Schoolbook" w:hAnsi="Century Schoolbook"/>
                <w:sz w:val="20"/>
                <w:szCs w:val="20"/>
              </w:rPr>
            </w:pPr>
            <w:r>
              <w:rPr>
                <w:rFonts w:ascii="Century Schoolbook" w:hAnsi="Century Schoolbook"/>
                <w:sz w:val="20"/>
                <w:szCs w:val="20"/>
              </w:rPr>
              <w:t xml:space="preserve">Describes the Block Product for Slice/Block customers, including Tier 1 and, if applicable, Tier 2 Block Amounts.  Describes allowable Block amount shapes. </w:t>
            </w:r>
            <w:r w:rsidR="00AB6D27">
              <w:rPr>
                <w:rFonts w:ascii="Century Schoolbook" w:hAnsi="Century Schoolbook"/>
                <w:sz w:val="20"/>
                <w:szCs w:val="20"/>
              </w:rPr>
              <w:t xml:space="preserve"> Includes</w:t>
            </w:r>
            <w:r>
              <w:rPr>
                <w:rFonts w:ascii="Century Schoolbook" w:hAnsi="Century Schoolbook"/>
                <w:sz w:val="20"/>
                <w:szCs w:val="20"/>
              </w:rPr>
              <w:t xml:space="preserve"> </w:t>
            </w:r>
            <w:r w:rsidR="00AB6D27">
              <w:rPr>
                <w:rFonts w:ascii="Century Schoolbook" w:hAnsi="Century Schoolbook"/>
                <w:sz w:val="20"/>
                <w:szCs w:val="20"/>
              </w:rPr>
              <w:t xml:space="preserve">a </w:t>
            </w:r>
            <w:r w:rsidR="00985B3F">
              <w:rPr>
                <w:rFonts w:ascii="Century Schoolbook" w:hAnsi="Century Schoolbook"/>
                <w:sz w:val="20"/>
                <w:szCs w:val="20"/>
              </w:rPr>
              <w:t xml:space="preserve">draft </w:t>
            </w:r>
            <w:r>
              <w:rPr>
                <w:rFonts w:ascii="Century Schoolbook" w:hAnsi="Century Schoolbook"/>
                <w:sz w:val="20"/>
                <w:szCs w:val="20"/>
              </w:rPr>
              <w:t xml:space="preserve">rewrite to section 4.5 to simplify language regarding </w:t>
            </w:r>
            <w:r w:rsidRPr="006C3BAD">
              <w:rPr>
                <w:rFonts w:ascii="Century Schoolbook" w:hAnsi="Century Schoolbook"/>
                <w:sz w:val="20"/>
                <w:szCs w:val="20"/>
              </w:rPr>
              <w:t>Diurnal Flattening Service for Specified Renewable Resources</w:t>
            </w:r>
            <w:r>
              <w:rPr>
                <w:rFonts w:ascii="Century Schoolbook" w:hAnsi="Century Schoolbook"/>
                <w:sz w:val="20"/>
                <w:szCs w:val="20"/>
              </w:rPr>
              <w:t>.</w:t>
            </w:r>
          </w:p>
        </w:tc>
      </w:tr>
      <w:tr w:rsidR="00FD419D" w:rsidRPr="000F0FBC" w14:paraId="3A57BCFF" w14:textId="77777777" w:rsidTr="00801E11">
        <w:trPr>
          <w:cantSplit/>
        </w:trPr>
        <w:tc>
          <w:tcPr>
            <w:tcW w:w="1800" w:type="dxa"/>
          </w:tcPr>
          <w:p w14:paraId="165F60C5" w14:textId="07573E6F"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lastRenderedPageBreak/>
              <w:t xml:space="preserve">5. </w:t>
            </w:r>
            <w:r>
              <w:rPr>
                <w:rFonts w:ascii="Century Schoolbook" w:hAnsi="Century Schoolbook"/>
                <w:sz w:val="20"/>
                <w:szCs w:val="20"/>
              </w:rPr>
              <w:t xml:space="preserve">Slice </w:t>
            </w:r>
            <w:r w:rsidRPr="000F0FBC">
              <w:rPr>
                <w:rFonts w:ascii="Century Schoolbook" w:hAnsi="Century Schoolbook"/>
                <w:sz w:val="20"/>
                <w:szCs w:val="20"/>
              </w:rPr>
              <w:t xml:space="preserve">Product (or </w:t>
            </w:r>
            <w:r>
              <w:rPr>
                <w:rFonts w:ascii="Century Schoolbook" w:hAnsi="Century Schoolbook"/>
                <w:sz w:val="20"/>
                <w:szCs w:val="20"/>
              </w:rPr>
              <w:t>“</w:t>
            </w:r>
            <w:r w:rsidRPr="000F0FBC">
              <w:rPr>
                <w:rFonts w:ascii="Century Schoolbook" w:hAnsi="Century Schoolbook"/>
                <w:sz w:val="20"/>
                <w:szCs w:val="20"/>
              </w:rPr>
              <w:t>Intentionally Left Blank</w:t>
            </w:r>
            <w:r>
              <w:rPr>
                <w:rFonts w:ascii="Century Schoolbook" w:hAnsi="Century Schoolbook"/>
                <w:sz w:val="20"/>
                <w:szCs w:val="20"/>
              </w:rPr>
              <w:t>” in LF and Block</w:t>
            </w:r>
            <w:r w:rsidRPr="000F0FBC">
              <w:rPr>
                <w:rFonts w:ascii="Century Schoolbook" w:hAnsi="Century Schoolbook"/>
                <w:sz w:val="20"/>
                <w:szCs w:val="20"/>
              </w:rPr>
              <w:t>)</w:t>
            </w:r>
          </w:p>
        </w:tc>
        <w:tc>
          <w:tcPr>
            <w:tcW w:w="1800" w:type="dxa"/>
          </w:tcPr>
          <w:p w14:paraId="64102E05" w14:textId="573780DB"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 xml:space="preserve">5. </w:t>
            </w:r>
            <w:r>
              <w:rPr>
                <w:rFonts w:ascii="Century Schoolbook" w:hAnsi="Century Schoolbook"/>
                <w:sz w:val="20"/>
                <w:szCs w:val="20"/>
              </w:rPr>
              <w:t xml:space="preserve">Slice </w:t>
            </w:r>
            <w:r w:rsidRPr="000F0FBC">
              <w:rPr>
                <w:rFonts w:ascii="Century Schoolbook" w:hAnsi="Century Schoolbook"/>
                <w:sz w:val="20"/>
                <w:szCs w:val="20"/>
              </w:rPr>
              <w:t xml:space="preserve">Product (or </w:t>
            </w:r>
            <w:r>
              <w:rPr>
                <w:rFonts w:ascii="Century Schoolbook" w:hAnsi="Century Schoolbook"/>
                <w:sz w:val="20"/>
                <w:szCs w:val="20"/>
              </w:rPr>
              <w:t>“</w:t>
            </w:r>
            <w:r w:rsidRPr="000F0FBC">
              <w:rPr>
                <w:rFonts w:ascii="Century Schoolbook" w:hAnsi="Century Schoolbook"/>
                <w:sz w:val="20"/>
                <w:szCs w:val="20"/>
              </w:rPr>
              <w:t>Intentionally Left Blank</w:t>
            </w:r>
            <w:r>
              <w:rPr>
                <w:rFonts w:ascii="Century Schoolbook" w:hAnsi="Century Schoolbook"/>
                <w:sz w:val="20"/>
                <w:szCs w:val="20"/>
              </w:rPr>
              <w:t>” in LF and Block</w:t>
            </w:r>
            <w:r w:rsidRPr="000F0FBC">
              <w:rPr>
                <w:rFonts w:ascii="Century Schoolbook" w:hAnsi="Century Schoolbook"/>
                <w:sz w:val="20"/>
                <w:szCs w:val="20"/>
              </w:rPr>
              <w:t>)</w:t>
            </w:r>
          </w:p>
        </w:tc>
        <w:tc>
          <w:tcPr>
            <w:tcW w:w="5760" w:type="dxa"/>
          </w:tcPr>
          <w:p w14:paraId="5BC26875" w14:textId="0F3CC621" w:rsidR="00C5113D" w:rsidRPr="000F0FBC" w:rsidRDefault="0047427E" w:rsidP="00000B4D">
            <w:pPr>
              <w:rPr>
                <w:rFonts w:ascii="Century Schoolbook" w:hAnsi="Century Schoolbook"/>
                <w:sz w:val="20"/>
                <w:szCs w:val="20"/>
              </w:rPr>
            </w:pPr>
            <w:r>
              <w:rPr>
                <w:rFonts w:ascii="Century Schoolbook" w:hAnsi="Century Schoolbook"/>
                <w:sz w:val="20"/>
                <w:szCs w:val="20"/>
              </w:rPr>
              <w:t xml:space="preserve">Described the Slice Product for Slice/Block Customers. Initial Slice Percentage fixed for duration of </w:t>
            </w:r>
            <w:r w:rsidR="00DB621B">
              <w:rPr>
                <w:rFonts w:ascii="Century Schoolbook" w:hAnsi="Century Schoolbook"/>
                <w:sz w:val="20"/>
                <w:szCs w:val="20"/>
              </w:rPr>
              <w:t>RD</w:t>
            </w:r>
            <w:r>
              <w:rPr>
                <w:rFonts w:ascii="Century Schoolbook" w:hAnsi="Century Schoolbook"/>
                <w:sz w:val="20"/>
                <w:szCs w:val="20"/>
              </w:rPr>
              <w:t xml:space="preserve"> with annual adjustment for changes to </w:t>
            </w:r>
            <w:r w:rsidR="00EF4F29">
              <w:rPr>
                <w:rFonts w:ascii="Century Schoolbook" w:hAnsi="Century Schoolbook"/>
                <w:sz w:val="20"/>
                <w:szCs w:val="20"/>
              </w:rPr>
              <w:t xml:space="preserve">Tier 1 System Capability. </w:t>
            </w:r>
            <w:r w:rsidR="002C1ABA">
              <w:rPr>
                <w:rFonts w:ascii="Century Schoolbook" w:hAnsi="Century Schoolbook"/>
                <w:sz w:val="20"/>
                <w:szCs w:val="20"/>
              </w:rPr>
              <w:t xml:space="preserve"> </w:t>
            </w:r>
            <w:r>
              <w:rPr>
                <w:rFonts w:ascii="Century Schoolbook" w:hAnsi="Century Schoolbook"/>
                <w:sz w:val="20"/>
                <w:szCs w:val="20"/>
              </w:rPr>
              <w:t>Customer submitted Customer Inputs and scheduled Slice Output Energy for upcoming hour in real time using the Slice Computer Application</w:t>
            </w:r>
            <w:r w:rsidR="002C1ABA">
              <w:rPr>
                <w:rFonts w:ascii="Century Schoolbook" w:hAnsi="Century Schoolbook"/>
                <w:sz w:val="20"/>
                <w:szCs w:val="20"/>
              </w:rPr>
              <w:t xml:space="preserve"> (SCA)</w:t>
            </w:r>
            <w:r>
              <w:rPr>
                <w:rFonts w:ascii="Century Schoolbook" w:hAnsi="Century Schoolbook"/>
                <w:sz w:val="20"/>
                <w:szCs w:val="20"/>
              </w:rPr>
              <w:t xml:space="preserve">. </w:t>
            </w:r>
            <w:r w:rsidR="001F791C">
              <w:rPr>
                <w:rFonts w:ascii="Century Schoolbook" w:hAnsi="Century Schoolbook"/>
                <w:sz w:val="20"/>
                <w:szCs w:val="20"/>
              </w:rPr>
              <w:t xml:space="preserve"> </w:t>
            </w:r>
            <w:r>
              <w:rPr>
                <w:rFonts w:ascii="Century Schoolbook" w:hAnsi="Century Schoolbook"/>
                <w:sz w:val="20"/>
                <w:szCs w:val="20"/>
              </w:rPr>
              <w:t>BPA performed Requirements Slice Output</w:t>
            </w:r>
            <w:r w:rsidR="002C1ABA">
              <w:rPr>
                <w:rFonts w:ascii="Century Schoolbook" w:hAnsi="Century Schoolbook"/>
                <w:sz w:val="20"/>
                <w:szCs w:val="20"/>
              </w:rPr>
              <w:t xml:space="preserve"> (RSO)</w:t>
            </w:r>
            <w:r>
              <w:rPr>
                <w:rFonts w:ascii="Century Schoolbook" w:hAnsi="Century Schoolbook"/>
                <w:sz w:val="20"/>
                <w:szCs w:val="20"/>
              </w:rPr>
              <w:t xml:space="preserve"> test each month to measure Slice Output Energy </w:t>
            </w:r>
            <w:r w:rsidR="002C1ABA">
              <w:rPr>
                <w:rFonts w:ascii="Century Schoolbook" w:hAnsi="Century Schoolbook"/>
                <w:sz w:val="20"/>
                <w:szCs w:val="20"/>
              </w:rPr>
              <w:t>a c</w:t>
            </w:r>
            <w:r>
              <w:rPr>
                <w:rFonts w:ascii="Century Schoolbook" w:hAnsi="Century Schoolbook"/>
                <w:sz w:val="20"/>
                <w:szCs w:val="20"/>
              </w:rPr>
              <w:t xml:space="preserve">ustomer scheduled to serve TRL. </w:t>
            </w:r>
            <w:r w:rsidR="002C1ABA">
              <w:rPr>
                <w:rFonts w:ascii="Century Schoolbook" w:hAnsi="Century Schoolbook"/>
                <w:sz w:val="20"/>
                <w:szCs w:val="20"/>
              </w:rPr>
              <w:t xml:space="preserve"> </w:t>
            </w:r>
            <w:r>
              <w:rPr>
                <w:rFonts w:ascii="Century Schoolbook" w:hAnsi="Century Schoolbook"/>
                <w:sz w:val="20"/>
                <w:szCs w:val="20"/>
              </w:rPr>
              <w:t>Custome</w:t>
            </w:r>
            <w:r w:rsidR="00EF4F29">
              <w:rPr>
                <w:rFonts w:ascii="Century Schoolbook" w:hAnsi="Century Schoolbook"/>
                <w:sz w:val="20"/>
                <w:szCs w:val="20"/>
              </w:rPr>
              <w:t xml:space="preserve">r elected </w:t>
            </w:r>
            <w:r>
              <w:rPr>
                <w:rFonts w:ascii="Century Schoolbook" w:hAnsi="Century Schoolbook"/>
                <w:sz w:val="20"/>
                <w:szCs w:val="20"/>
              </w:rPr>
              <w:t>to participate in CGS Displacement or receive Replacement Energy.</w:t>
            </w:r>
            <w:r w:rsidR="00EF4F29">
              <w:rPr>
                <w:rFonts w:ascii="Century Schoolbook" w:hAnsi="Century Schoolbook"/>
                <w:sz w:val="20"/>
                <w:szCs w:val="20"/>
              </w:rPr>
              <w:t xml:space="preserve"> </w:t>
            </w:r>
            <w:r w:rsidR="002C1ABA">
              <w:rPr>
                <w:rFonts w:ascii="Century Schoolbook" w:hAnsi="Century Schoolbook"/>
                <w:sz w:val="20"/>
                <w:szCs w:val="20"/>
              </w:rPr>
              <w:t xml:space="preserve"> </w:t>
            </w:r>
            <w:r w:rsidR="00EF4F29">
              <w:rPr>
                <w:rFonts w:ascii="Century Schoolbook" w:hAnsi="Century Schoolbook"/>
                <w:sz w:val="20"/>
                <w:szCs w:val="20"/>
              </w:rPr>
              <w:t>Established Slice Implementation Group</w:t>
            </w:r>
            <w:r w:rsidR="002C1ABA">
              <w:rPr>
                <w:rFonts w:ascii="Century Schoolbook" w:hAnsi="Century Schoolbook"/>
                <w:sz w:val="20"/>
                <w:szCs w:val="20"/>
              </w:rPr>
              <w:t xml:space="preserve"> (SIG)</w:t>
            </w:r>
            <w:r w:rsidR="00EF4F29">
              <w:rPr>
                <w:rFonts w:ascii="Century Schoolbook" w:hAnsi="Century Schoolbook"/>
                <w:sz w:val="20"/>
                <w:szCs w:val="20"/>
              </w:rPr>
              <w:t xml:space="preserve"> to ensure SCA accurately represent</w:t>
            </w:r>
            <w:r w:rsidR="002C1ABA">
              <w:rPr>
                <w:rFonts w:ascii="Century Schoolbook" w:hAnsi="Century Schoolbook"/>
                <w:sz w:val="20"/>
                <w:szCs w:val="20"/>
              </w:rPr>
              <w:t>ed</w:t>
            </w:r>
            <w:r w:rsidR="00EF4F29">
              <w:rPr>
                <w:rFonts w:ascii="Century Schoolbook" w:hAnsi="Century Schoolbook"/>
                <w:sz w:val="20"/>
                <w:szCs w:val="20"/>
              </w:rPr>
              <w:t xml:space="preserve"> the capabilities and constraints on the Tier 1 System Resources.</w:t>
            </w:r>
          </w:p>
        </w:tc>
        <w:tc>
          <w:tcPr>
            <w:tcW w:w="5310" w:type="dxa"/>
          </w:tcPr>
          <w:p w14:paraId="3F1AC26B" w14:textId="54328375" w:rsidR="00C5113D" w:rsidRDefault="0047427E" w:rsidP="00000B4D">
            <w:pPr>
              <w:rPr>
                <w:rFonts w:ascii="Century Schoolbook" w:hAnsi="Century Schoolbook"/>
                <w:sz w:val="20"/>
                <w:szCs w:val="20"/>
              </w:rPr>
            </w:pPr>
            <w:r>
              <w:rPr>
                <w:rFonts w:ascii="Century Schoolbook" w:hAnsi="Century Schoolbook"/>
                <w:sz w:val="20"/>
                <w:szCs w:val="20"/>
              </w:rPr>
              <w:t xml:space="preserve">Describes the Slice Product for Slice/Block Customers. BPA calculates Slice Percentage each Fiscal Year at fifty percent of Tier 1 Net Requirement. </w:t>
            </w:r>
            <w:r w:rsidR="002C1ABA">
              <w:rPr>
                <w:rFonts w:ascii="Century Schoolbook" w:hAnsi="Century Schoolbook"/>
                <w:sz w:val="20"/>
                <w:szCs w:val="20"/>
              </w:rPr>
              <w:t xml:space="preserve"> </w:t>
            </w:r>
            <w:r w:rsidR="00EF4F29">
              <w:rPr>
                <w:rFonts w:ascii="Century Schoolbook" w:hAnsi="Century Schoolbook"/>
                <w:sz w:val="20"/>
                <w:szCs w:val="20"/>
              </w:rPr>
              <w:t xml:space="preserve">Annual CHWM System fixed at 7,250 aMW, eliminates annual adjustment to system capability. </w:t>
            </w:r>
            <w:r w:rsidR="002C1ABA">
              <w:rPr>
                <w:rFonts w:ascii="Century Schoolbook" w:hAnsi="Century Schoolbook"/>
                <w:sz w:val="20"/>
                <w:szCs w:val="20"/>
              </w:rPr>
              <w:t xml:space="preserve"> </w:t>
            </w:r>
            <w:r w:rsidR="00EF4F29">
              <w:rPr>
                <w:rFonts w:ascii="Century Schoolbook" w:hAnsi="Century Schoolbook"/>
                <w:sz w:val="20"/>
                <w:szCs w:val="20"/>
              </w:rPr>
              <w:t xml:space="preserve">Customer submits Customer Inputs for each hour in the following day using the </w:t>
            </w:r>
            <w:r w:rsidR="001A17BE">
              <w:rPr>
                <w:rFonts w:ascii="Century Schoolbook" w:hAnsi="Century Schoolbook"/>
                <w:sz w:val="20"/>
                <w:szCs w:val="20"/>
              </w:rPr>
              <w:t xml:space="preserve">POCSA </w:t>
            </w:r>
            <w:r w:rsidR="00EF4F29">
              <w:rPr>
                <w:rFonts w:ascii="Century Schoolbook" w:hAnsi="Century Schoolbook"/>
                <w:sz w:val="20"/>
                <w:szCs w:val="20"/>
              </w:rPr>
              <w:t xml:space="preserve">in the day ahead timeframe. </w:t>
            </w:r>
            <w:r w:rsidR="002C1ABA">
              <w:rPr>
                <w:rFonts w:ascii="Century Schoolbook" w:hAnsi="Century Schoolbook"/>
                <w:sz w:val="20"/>
                <w:szCs w:val="20"/>
              </w:rPr>
              <w:t xml:space="preserve"> </w:t>
            </w:r>
            <w:r>
              <w:rPr>
                <w:rFonts w:ascii="Century Schoolbook" w:hAnsi="Century Schoolbook"/>
                <w:sz w:val="20"/>
                <w:szCs w:val="20"/>
              </w:rPr>
              <w:t>Customer participate</w:t>
            </w:r>
            <w:r w:rsidR="00EF4F29">
              <w:rPr>
                <w:rFonts w:ascii="Century Schoolbook" w:hAnsi="Century Schoolbook"/>
                <w:sz w:val="20"/>
                <w:szCs w:val="20"/>
              </w:rPr>
              <w:t>s</w:t>
            </w:r>
            <w:r>
              <w:rPr>
                <w:rFonts w:ascii="Century Schoolbook" w:hAnsi="Century Schoolbook"/>
                <w:sz w:val="20"/>
                <w:szCs w:val="20"/>
              </w:rPr>
              <w:t xml:space="preserve"> in CGS Displacement, eliminates election</w:t>
            </w:r>
            <w:r w:rsidR="00EF4F29">
              <w:rPr>
                <w:rFonts w:ascii="Century Schoolbook" w:hAnsi="Century Schoolbook"/>
                <w:sz w:val="20"/>
                <w:szCs w:val="20"/>
              </w:rPr>
              <w:t xml:space="preserve"> option </w:t>
            </w:r>
            <w:r>
              <w:rPr>
                <w:rFonts w:ascii="Century Schoolbook" w:hAnsi="Century Schoolbook"/>
                <w:sz w:val="20"/>
                <w:szCs w:val="20"/>
              </w:rPr>
              <w:t xml:space="preserve">for Replacement Energy. </w:t>
            </w:r>
            <w:r w:rsidR="00985B3F">
              <w:rPr>
                <w:rFonts w:ascii="Century Schoolbook" w:hAnsi="Century Schoolbook"/>
                <w:sz w:val="20"/>
                <w:szCs w:val="20"/>
              </w:rPr>
              <w:t xml:space="preserve"> Further discussions on the RSO test and associated contract language will be scheduled for upcoming workshops.</w:t>
            </w:r>
          </w:p>
          <w:p w14:paraId="4C2E26E5" w14:textId="40CB67A1" w:rsidR="00EF4F29" w:rsidRPr="000F0FBC" w:rsidRDefault="00EF4F29" w:rsidP="00000B4D">
            <w:pPr>
              <w:rPr>
                <w:rFonts w:ascii="Century Schoolbook" w:hAnsi="Century Schoolbook"/>
                <w:sz w:val="20"/>
                <w:szCs w:val="20"/>
              </w:rPr>
            </w:pPr>
          </w:p>
        </w:tc>
      </w:tr>
      <w:tr w:rsidR="00FD419D" w:rsidRPr="000F0FBC" w14:paraId="1C09EE66" w14:textId="77777777" w:rsidTr="00801E11">
        <w:trPr>
          <w:cantSplit/>
        </w:trPr>
        <w:tc>
          <w:tcPr>
            <w:tcW w:w="1800" w:type="dxa"/>
          </w:tcPr>
          <w:p w14:paraId="4AB45B11" w14:textId="3902D8E1"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6. Tiered Rate Methodology</w:t>
            </w:r>
          </w:p>
        </w:tc>
        <w:tc>
          <w:tcPr>
            <w:tcW w:w="1800" w:type="dxa"/>
          </w:tcPr>
          <w:p w14:paraId="041683C8" w14:textId="75C10620"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6. Public Rate Design Methodology</w:t>
            </w:r>
          </w:p>
        </w:tc>
        <w:tc>
          <w:tcPr>
            <w:tcW w:w="5760" w:type="dxa"/>
          </w:tcPr>
          <w:p w14:paraId="6ECA32A5" w14:textId="5F1C5ACC" w:rsidR="00C5113D" w:rsidRPr="00DF7BBA" w:rsidRDefault="00445F66" w:rsidP="00000B4D">
            <w:pPr>
              <w:rPr>
                <w:rFonts w:ascii="Century Schoolbook" w:hAnsi="Century Schoolbook"/>
                <w:sz w:val="20"/>
                <w:szCs w:val="20"/>
              </w:rPr>
            </w:pPr>
            <w:r>
              <w:rPr>
                <w:rFonts w:ascii="Century Schoolbook" w:hAnsi="Century Schoolbook"/>
                <w:sz w:val="20"/>
                <w:szCs w:val="20"/>
              </w:rPr>
              <w:t>E</w:t>
            </w:r>
            <w:r w:rsidR="00C5113D" w:rsidRPr="00DF7BBA">
              <w:rPr>
                <w:rFonts w:ascii="Century Schoolbook" w:hAnsi="Century Schoolbook"/>
                <w:sz w:val="20"/>
                <w:szCs w:val="20"/>
              </w:rPr>
              <w:t>stablished the relationship between the contract and the TRM.  The contract included recitations of TRM terms (including definitions of CHWM and RHWM and the formula for calculating RHWMs).</w:t>
            </w:r>
          </w:p>
        </w:tc>
        <w:tc>
          <w:tcPr>
            <w:tcW w:w="5310" w:type="dxa"/>
          </w:tcPr>
          <w:p w14:paraId="5E05DD79" w14:textId="1CEE486D" w:rsidR="00C5113D" w:rsidRPr="000F0FBC" w:rsidRDefault="00445F66" w:rsidP="00000B4D">
            <w:pPr>
              <w:rPr>
                <w:rFonts w:ascii="Century Schoolbook" w:hAnsi="Century Schoolbook"/>
                <w:sz w:val="20"/>
                <w:szCs w:val="20"/>
              </w:rPr>
            </w:pPr>
            <w:r>
              <w:rPr>
                <w:rFonts w:ascii="Century Schoolbook" w:hAnsi="Century Schoolbook"/>
                <w:sz w:val="20"/>
                <w:szCs w:val="20"/>
              </w:rPr>
              <w:t>E</w:t>
            </w:r>
            <w:r w:rsidR="00C5113D">
              <w:rPr>
                <w:rFonts w:ascii="Century Schoolbook" w:hAnsi="Century Schoolbook"/>
                <w:sz w:val="20"/>
                <w:szCs w:val="20"/>
              </w:rPr>
              <w:t xml:space="preserve">stablishes the </w:t>
            </w:r>
            <w:r w:rsidR="00C5113D" w:rsidRPr="00DF7BBA">
              <w:rPr>
                <w:rFonts w:ascii="Century Schoolbook" w:hAnsi="Century Schoolbook"/>
                <w:sz w:val="20"/>
                <w:szCs w:val="20"/>
              </w:rPr>
              <w:t xml:space="preserve">relationship between the contract and the </w:t>
            </w:r>
            <w:r w:rsidR="00C5113D">
              <w:rPr>
                <w:rFonts w:ascii="Century Schoolbook" w:hAnsi="Century Schoolbook"/>
                <w:sz w:val="20"/>
                <w:szCs w:val="20"/>
              </w:rPr>
              <w:t>PRDM.  The language has been updated to reflect that BPA will not be seeking FERC approval on the PRDM.</w:t>
            </w:r>
          </w:p>
        </w:tc>
      </w:tr>
      <w:tr w:rsidR="00FD419D" w:rsidRPr="000F0FBC" w14:paraId="27744C59" w14:textId="77777777" w:rsidTr="00801E11">
        <w:trPr>
          <w:cantSplit/>
        </w:trPr>
        <w:tc>
          <w:tcPr>
            <w:tcW w:w="1800" w:type="dxa"/>
          </w:tcPr>
          <w:p w14:paraId="71EEED9B" w14:textId="3D46FE30"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7. High Water Marks and Contract Demand Quantities</w:t>
            </w:r>
          </w:p>
        </w:tc>
        <w:tc>
          <w:tcPr>
            <w:tcW w:w="1800" w:type="dxa"/>
          </w:tcPr>
          <w:p w14:paraId="761E47E5" w14:textId="67925818"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7. High Water Marks</w:t>
            </w:r>
          </w:p>
        </w:tc>
        <w:tc>
          <w:tcPr>
            <w:tcW w:w="5760" w:type="dxa"/>
          </w:tcPr>
          <w:p w14:paraId="02B90E50" w14:textId="2E9918EC" w:rsidR="00C5113D" w:rsidRPr="000F0FBC" w:rsidRDefault="00C5113D" w:rsidP="00000B4D">
            <w:pPr>
              <w:rPr>
                <w:rFonts w:ascii="Century Schoolbook" w:hAnsi="Century Schoolbook"/>
                <w:sz w:val="20"/>
                <w:szCs w:val="20"/>
              </w:rPr>
            </w:pPr>
            <w:r>
              <w:rPr>
                <w:rFonts w:ascii="Century Schoolbook" w:hAnsi="Century Schoolbook"/>
                <w:sz w:val="20"/>
                <w:szCs w:val="20"/>
              </w:rPr>
              <w:t xml:space="preserve">CHWMs were calculated in accordance </w:t>
            </w:r>
            <w:r w:rsidR="00AF7BA4">
              <w:rPr>
                <w:rFonts w:ascii="Century Schoolbook" w:hAnsi="Century Schoolbook"/>
                <w:sz w:val="20"/>
                <w:szCs w:val="20"/>
              </w:rPr>
              <w:t>with</w:t>
            </w:r>
            <w:r>
              <w:rPr>
                <w:rFonts w:ascii="Century Schoolbook" w:hAnsi="Century Schoolbook"/>
                <w:sz w:val="20"/>
                <w:szCs w:val="20"/>
              </w:rPr>
              <w:t xml:space="preserve"> the TRM.  </w:t>
            </w:r>
            <w:r w:rsidR="0065562E">
              <w:rPr>
                <w:rFonts w:ascii="Century Schoolbook" w:hAnsi="Century Schoolbook"/>
                <w:sz w:val="20"/>
                <w:szCs w:val="20"/>
              </w:rPr>
              <w:t>S</w:t>
            </w:r>
            <w:r>
              <w:rPr>
                <w:rFonts w:ascii="Century Schoolbook" w:hAnsi="Century Schoolbook"/>
                <w:sz w:val="20"/>
                <w:szCs w:val="20"/>
              </w:rPr>
              <w:t>tate</w:t>
            </w:r>
            <w:r w:rsidR="00E1121A">
              <w:rPr>
                <w:rFonts w:ascii="Century Schoolbook" w:hAnsi="Century Schoolbook"/>
                <w:sz w:val="20"/>
                <w:szCs w:val="20"/>
              </w:rPr>
              <w:t>d</w:t>
            </w:r>
            <w:r>
              <w:rPr>
                <w:rFonts w:ascii="Century Schoolbook" w:hAnsi="Century Schoolbook"/>
                <w:sz w:val="20"/>
                <w:szCs w:val="20"/>
              </w:rPr>
              <w:t xml:space="preserve"> how the C</w:t>
            </w:r>
            <w:r w:rsidRPr="00D95480">
              <w:rPr>
                <w:rFonts w:ascii="Century Schoolbook" w:hAnsi="Century Schoolbook"/>
                <w:sz w:val="20"/>
                <w:szCs w:val="20"/>
              </w:rPr>
              <w:t>HWM</w:t>
            </w:r>
            <w:r>
              <w:rPr>
                <w:rFonts w:ascii="Century Schoolbook" w:hAnsi="Century Schoolbook"/>
                <w:sz w:val="20"/>
                <w:szCs w:val="20"/>
              </w:rPr>
              <w:t>s</w:t>
            </w:r>
            <w:r w:rsidRPr="00D95480">
              <w:rPr>
                <w:rFonts w:ascii="Century Schoolbook" w:hAnsi="Century Schoolbook"/>
                <w:sz w:val="20"/>
                <w:szCs w:val="20"/>
              </w:rPr>
              <w:t>, RHWM</w:t>
            </w:r>
            <w:r>
              <w:rPr>
                <w:rFonts w:ascii="Century Schoolbook" w:hAnsi="Century Schoolbook"/>
                <w:sz w:val="20"/>
                <w:szCs w:val="20"/>
              </w:rPr>
              <w:t>s</w:t>
            </w:r>
            <w:r w:rsidRPr="00D95480">
              <w:rPr>
                <w:rFonts w:ascii="Century Schoolbook" w:hAnsi="Century Schoolbook"/>
                <w:sz w:val="20"/>
                <w:szCs w:val="20"/>
              </w:rPr>
              <w:t>, and Contract Demand Quantities (CDQs)</w:t>
            </w:r>
            <w:r>
              <w:rPr>
                <w:rFonts w:ascii="Century Schoolbook" w:hAnsi="Century Schoolbook"/>
                <w:sz w:val="20"/>
                <w:szCs w:val="20"/>
              </w:rPr>
              <w:t xml:space="preserve"> </w:t>
            </w:r>
            <w:r w:rsidR="00181FA8">
              <w:rPr>
                <w:rFonts w:ascii="Century Schoolbook" w:hAnsi="Century Schoolbook"/>
                <w:sz w:val="20"/>
                <w:szCs w:val="20"/>
              </w:rPr>
              <w:t>ar</w:t>
            </w:r>
            <w:r>
              <w:rPr>
                <w:rFonts w:ascii="Century Schoolbook" w:hAnsi="Century Schoolbook"/>
                <w:sz w:val="20"/>
                <w:szCs w:val="20"/>
              </w:rPr>
              <w:t xml:space="preserve">e calculated and where the numbers </w:t>
            </w:r>
            <w:r w:rsidR="00181FA8">
              <w:rPr>
                <w:rFonts w:ascii="Century Schoolbook" w:hAnsi="Century Schoolbook"/>
                <w:sz w:val="20"/>
                <w:szCs w:val="20"/>
              </w:rPr>
              <w:t>are reflected</w:t>
            </w:r>
            <w:r>
              <w:rPr>
                <w:rFonts w:ascii="Century Schoolbook" w:hAnsi="Century Schoolbook"/>
                <w:sz w:val="20"/>
                <w:szCs w:val="20"/>
              </w:rPr>
              <w:t xml:space="preserve"> in the exhibits.</w:t>
            </w:r>
          </w:p>
        </w:tc>
        <w:tc>
          <w:tcPr>
            <w:tcW w:w="5310" w:type="dxa"/>
          </w:tcPr>
          <w:p w14:paraId="1066B8C1" w14:textId="3993D4D9" w:rsidR="00C5113D" w:rsidRPr="000F0FBC" w:rsidRDefault="00C5113D" w:rsidP="00000B4D">
            <w:pPr>
              <w:rPr>
                <w:rFonts w:ascii="Century Schoolbook" w:hAnsi="Century Schoolbook"/>
                <w:sz w:val="20"/>
                <w:szCs w:val="20"/>
              </w:rPr>
            </w:pPr>
            <w:r>
              <w:rPr>
                <w:rFonts w:ascii="Century Schoolbook" w:hAnsi="Century Schoolbook"/>
                <w:sz w:val="20"/>
                <w:szCs w:val="20"/>
              </w:rPr>
              <w:t xml:space="preserve">CHWMs will be calculated in the </w:t>
            </w:r>
            <w:r w:rsidRPr="00E748A5">
              <w:rPr>
                <w:rFonts w:ascii="Century Schoolbook" w:hAnsi="Century Schoolbook"/>
                <w:sz w:val="20"/>
                <w:szCs w:val="20"/>
              </w:rPr>
              <w:t>FY 2026 CHWM Calculation Process</w:t>
            </w:r>
            <w:r>
              <w:rPr>
                <w:rFonts w:ascii="Century Schoolbook" w:hAnsi="Century Schoolbook"/>
                <w:sz w:val="20"/>
                <w:szCs w:val="20"/>
              </w:rPr>
              <w:t xml:space="preserve">, </w:t>
            </w:r>
            <w:r w:rsidR="00181FA8">
              <w:rPr>
                <w:rFonts w:ascii="Century Schoolbook" w:hAnsi="Century Schoolbook"/>
                <w:sz w:val="20"/>
                <w:szCs w:val="20"/>
              </w:rPr>
              <w:t>reflect</w:t>
            </w:r>
            <w:r>
              <w:rPr>
                <w:rFonts w:ascii="Century Schoolbook" w:hAnsi="Century Schoolbook"/>
                <w:sz w:val="20"/>
                <w:szCs w:val="20"/>
              </w:rPr>
              <w:t>ed in Exhibit B, and can only be adjusted pursuant to the terms and conditions in Exhibit B.</w:t>
            </w:r>
            <w:r w:rsidR="001A7136">
              <w:rPr>
                <w:rFonts w:ascii="Century Schoolbook" w:hAnsi="Century Schoolbook"/>
                <w:sz w:val="20"/>
                <w:szCs w:val="20"/>
              </w:rPr>
              <w:t xml:space="preserve"> </w:t>
            </w:r>
            <w:r w:rsidR="0052797B">
              <w:rPr>
                <w:rFonts w:ascii="Century Schoolbook" w:hAnsi="Century Schoolbook"/>
                <w:sz w:val="20"/>
                <w:szCs w:val="20"/>
              </w:rPr>
              <w:t xml:space="preserve"> </w:t>
            </w:r>
            <w:r w:rsidR="001A7136">
              <w:rPr>
                <w:rFonts w:ascii="Century Schoolbook" w:hAnsi="Century Schoolbook"/>
                <w:sz w:val="20"/>
                <w:szCs w:val="20"/>
              </w:rPr>
              <w:t>Includes a JOE-specific option of section 7 that states a JOE’s CHWM is the sum of its individual Members’ CHWMs.</w:t>
            </w:r>
          </w:p>
        </w:tc>
      </w:tr>
      <w:tr w:rsidR="00FD419D" w:rsidRPr="000F0FBC" w14:paraId="766DFFD3" w14:textId="77777777" w:rsidTr="00801E11">
        <w:trPr>
          <w:cantSplit/>
        </w:trPr>
        <w:tc>
          <w:tcPr>
            <w:tcW w:w="1800" w:type="dxa"/>
          </w:tcPr>
          <w:p w14:paraId="494955D5" w14:textId="67B86CAB"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8. Applicable Rates</w:t>
            </w:r>
          </w:p>
        </w:tc>
        <w:tc>
          <w:tcPr>
            <w:tcW w:w="1800" w:type="dxa"/>
          </w:tcPr>
          <w:p w14:paraId="1D6E9DFA" w14:textId="744A76B1"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8. Applicable Rates</w:t>
            </w:r>
          </w:p>
        </w:tc>
        <w:tc>
          <w:tcPr>
            <w:tcW w:w="5760" w:type="dxa"/>
          </w:tcPr>
          <w:p w14:paraId="37AF523E" w14:textId="08378757" w:rsidR="00C5113D" w:rsidRPr="00EF79E7" w:rsidRDefault="00445F66" w:rsidP="00000B4D">
            <w:pPr>
              <w:rPr>
                <w:rFonts w:ascii="Century Schoolbook" w:hAnsi="Century Schoolbook"/>
                <w:sz w:val="20"/>
                <w:szCs w:val="20"/>
              </w:rPr>
            </w:pPr>
            <w:r>
              <w:rPr>
                <w:rFonts w:ascii="Century Schoolbook" w:hAnsi="Century Schoolbook"/>
                <w:snapToGrid w:val="0"/>
                <w:sz w:val="20"/>
                <w:szCs w:val="20"/>
              </w:rPr>
              <w:t>Stated</w:t>
            </w:r>
            <w:r w:rsidR="00C5113D" w:rsidRPr="00EF79E7">
              <w:rPr>
                <w:rFonts w:ascii="Century Schoolbook" w:hAnsi="Century Schoolbook"/>
                <w:snapToGrid w:val="0"/>
                <w:sz w:val="20"/>
                <w:szCs w:val="20"/>
              </w:rPr>
              <w:t xml:space="preserve"> the rate schedules that apply </w:t>
            </w:r>
            <w:r w:rsidR="00181FA8">
              <w:rPr>
                <w:rFonts w:ascii="Century Schoolbook" w:hAnsi="Century Schoolbook"/>
                <w:snapToGrid w:val="0"/>
                <w:sz w:val="20"/>
                <w:szCs w:val="20"/>
              </w:rPr>
              <w:t>to sales</w:t>
            </w:r>
            <w:r w:rsidR="00C5113D" w:rsidRPr="00EF79E7">
              <w:rPr>
                <w:rFonts w:ascii="Century Schoolbook" w:hAnsi="Century Schoolbook"/>
                <w:snapToGrid w:val="0"/>
                <w:sz w:val="20"/>
                <w:szCs w:val="20"/>
              </w:rPr>
              <w:t>, including PF, NR, FPS</w:t>
            </w:r>
            <w:r w:rsidR="00C5113D">
              <w:rPr>
                <w:rFonts w:ascii="Century Schoolbook" w:hAnsi="Century Schoolbook"/>
                <w:snapToGrid w:val="0"/>
                <w:sz w:val="20"/>
                <w:szCs w:val="20"/>
              </w:rPr>
              <w:t xml:space="preserve"> and mention</w:t>
            </w:r>
            <w:r w:rsidR="00AF7BA4">
              <w:rPr>
                <w:rFonts w:ascii="Century Schoolbook" w:hAnsi="Century Schoolbook"/>
                <w:snapToGrid w:val="0"/>
                <w:sz w:val="20"/>
                <w:szCs w:val="20"/>
              </w:rPr>
              <w:t>ed</w:t>
            </w:r>
            <w:r w:rsidR="00C5113D">
              <w:rPr>
                <w:rFonts w:ascii="Century Schoolbook" w:hAnsi="Century Schoolbook"/>
                <w:snapToGrid w:val="0"/>
                <w:sz w:val="20"/>
                <w:szCs w:val="20"/>
              </w:rPr>
              <w:t xml:space="preserve"> certain additional charges. </w:t>
            </w:r>
            <w:r w:rsidR="00CB72E1">
              <w:rPr>
                <w:rFonts w:ascii="Century Schoolbook" w:hAnsi="Century Schoolbook"/>
                <w:snapToGrid w:val="0"/>
                <w:sz w:val="20"/>
                <w:szCs w:val="20"/>
              </w:rPr>
              <w:t>P</w:t>
            </w:r>
            <w:r w:rsidR="00C5113D" w:rsidRPr="00EF79E7">
              <w:rPr>
                <w:rFonts w:ascii="Century Schoolbook" w:hAnsi="Century Schoolbook"/>
                <w:snapToGrid w:val="0"/>
                <w:sz w:val="20"/>
                <w:szCs w:val="20"/>
              </w:rPr>
              <w:t>oint</w:t>
            </w:r>
            <w:r w:rsidR="00AF7BA4">
              <w:rPr>
                <w:rFonts w:ascii="Century Schoolbook" w:hAnsi="Century Schoolbook"/>
                <w:snapToGrid w:val="0"/>
                <w:sz w:val="20"/>
                <w:szCs w:val="20"/>
              </w:rPr>
              <w:t>ed</w:t>
            </w:r>
            <w:r w:rsidR="00C5113D" w:rsidRPr="00EF79E7">
              <w:rPr>
                <w:rFonts w:ascii="Century Schoolbook" w:hAnsi="Century Schoolbook"/>
                <w:snapToGrid w:val="0"/>
                <w:sz w:val="20"/>
                <w:szCs w:val="20"/>
              </w:rPr>
              <w:t xml:space="preserve"> to the GRSPs for specific billing determinants.</w:t>
            </w:r>
          </w:p>
        </w:tc>
        <w:tc>
          <w:tcPr>
            <w:tcW w:w="5310" w:type="dxa"/>
          </w:tcPr>
          <w:p w14:paraId="5BF2E6DE" w14:textId="1C8DC571" w:rsidR="00C5113D" w:rsidRPr="00EF79E7" w:rsidRDefault="007D3E20" w:rsidP="00000B4D">
            <w:pPr>
              <w:rPr>
                <w:rFonts w:ascii="Century Schoolbook" w:hAnsi="Century Schoolbook"/>
                <w:sz w:val="20"/>
                <w:szCs w:val="20"/>
              </w:rPr>
            </w:pPr>
            <w:r>
              <w:rPr>
                <w:rFonts w:ascii="Century Schoolbook" w:eastAsia="Times New Roman" w:hAnsi="Century Schoolbook"/>
                <w:kern w:val="0"/>
                <w:sz w:val="20"/>
                <w:szCs w:val="20"/>
                <w14:ligatures w14:val="none"/>
              </w:rPr>
              <w:t>The POC contract n</w:t>
            </w:r>
            <w:r w:rsidR="00092E68">
              <w:rPr>
                <w:rFonts w:ascii="Century Schoolbook" w:eastAsia="Times New Roman" w:hAnsi="Century Schoolbook"/>
                <w:kern w:val="0"/>
                <w:sz w:val="20"/>
                <w:szCs w:val="20"/>
                <w14:ligatures w14:val="none"/>
              </w:rPr>
              <w:t>o longer</w:t>
            </w:r>
            <w:r w:rsidR="00C5113D" w:rsidRPr="00EF79E7">
              <w:rPr>
                <w:rFonts w:ascii="Century Schoolbook" w:eastAsia="Times New Roman" w:hAnsi="Century Schoolbook"/>
                <w:kern w:val="0"/>
                <w:sz w:val="20"/>
                <w:szCs w:val="20"/>
                <w14:ligatures w14:val="none"/>
              </w:rPr>
              <w:t xml:space="preserve"> specifically list</w:t>
            </w:r>
            <w:r w:rsidR="001E31BB">
              <w:rPr>
                <w:rFonts w:ascii="Century Schoolbook" w:eastAsia="Times New Roman" w:hAnsi="Century Schoolbook"/>
                <w:kern w:val="0"/>
                <w:sz w:val="20"/>
                <w:szCs w:val="20"/>
                <w14:ligatures w14:val="none"/>
              </w:rPr>
              <w:t>s</w:t>
            </w:r>
            <w:r w:rsidR="00C5113D" w:rsidRPr="00EF79E7">
              <w:rPr>
                <w:rFonts w:ascii="Century Schoolbook" w:eastAsia="Times New Roman" w:hAnsi="Century Schoolbook"/>
                <w:kern w:val="0"/>
                <w:sz w:val="20"/>
                <w:szCs w:val="20"/>
                <w14:ligatures w14:val="none"/>
              </w:rPr>
              <w:t xml:space="preserve"> rates and applicable charges and instead point</w:t>
            </w:r>
            <w:r w:rsidR="00C5113D">
              <w:rPr>
                <w:rFonts w:ascii="Century Schoolbook" w:eastAsia="Times New Roman" w:hAnsi="Century Schoolbook"/>
                <w:kern w:val="0"/>
                <w:sz w:val="20"/>
                <w:szCs w:val="20"/>
                <w14:ligatures w14:val="none"/>
              </w:rPr>
              <w:t>s</w:t>
            </w:r>
            <w:r w:rsidR="00C5113D" w:rsidRPr="00EF79E7">
              <w:rPr>
                <w:rFonts w:ascii="Century Schoolbook" w:eastAsia="Times New Roman" w:hAnsi="Century Schoolbook"/>
                <w:kern w:val="0"/>
                <w:sz w:val="20"/>
                <w:szCs w:val="20"/>
                <w14:ligatures w14:val="none"/>
              </w:rPr>
              <w:t xml:space="preserve"> to </w:t>
            </w:r>
            <w:r w:rsidR="00C5113D">
              <w:rPr>
                <w:rFonts w:ascii="Century Schoolbook" w:eastAsia="Times New Roman" w:hAnsi="Century Schoolbook"/>
                <w:kern w:val="0"/>
                <w:sz w:val="20"/>
                <w:szCs w:val="20"/>
                <w14:ligatures w14:val="none"/>
              </w:rPr>
              <w:t xml:space="preserve">the 7(i) Processes, </w:t>
            </w:r>
            <w:r w:rsidR="00C5113D" w:rsidRPr="00EF79E7">
              <w:rPr>
                <w:rFonts w:ascii="Century Schoolbook" w:eastAsia="Times New Roman" w:hAnsi="Century Schoolbook"/>
                <w:kern w:val="0"/>
                <w:sz w:val="20"/>
                <w:szCs w:val="20"/>
                <w14:ligatures w14:val="none"/>
              </w:rPr>
              <w:t xml:space="preserve">the PRDM and GSRPs to capture </w:t>
            </w:r>
            <w:r w:rsidR="00C5113D" w:rsidRPr="00EF79E7">
              <w:rPr>
                <w:rFonts w:ascii="Century Schoolbook" w:eastAsia="Times New Roman" w:hAnsi="Century Schoolbook"/>
                <w:i/>
                <w:iCs/>
                <w:kern w:val="0"/>
                <w:sz w:val="20"/>
                <w:szCs w:val="20"/>
                <w14:ligatures w14:val="none"/>
              </w:rPr>
              <w:t>all</w:t>
            </w:r>
            <w:r w:rsidR="00C5113D" w:rsidRPr="00EF79E7">
              <w:rPr>
                <w:rFonts w:ascii="Century Schoolbook" w:eastAsia="Times New Roman" w:hAnsi="Century Schoolbook"/>
                <w:kern w:val="0"/>
                <w:sz w:val="20"/>
                <w:szCs w:val="20"/>
                <w14:ligatures w14:val="none"/>
              </w:rPr>
              <w:t xml:space="preserve"> associated and listed rates in the relevant documents</w:t>
            </w:r>
            <w:r w:rsidR="00C5113D">
              <w:rPr>
                <w:rFonts w:ascii="Century Schoolbook" w:eastAsia="Times New Roman" w:hAnsi="Century Schoolbook"/>
                <w:kern w:val="0"/>
                <w:sz w:val="20"/>
                <w:szCs w:val="20"/>
                <w14:ligatures w14:val="none"/>
              </w:rPr>
              <w:t>.</w:t>
            </w:r>
          </w:p>
        </w:tc>
      </w:tr>
      <w:tr w:rsidR="00FD419D" w:rsidRPr="000F0FBC" w14:paraId="24535C95" w14:textId="77777777" w:rsidTr="00801E11">
        <w:trPr>
          <w:cantSplit/>
        </w:trPr>
        <w:tc>
          <w:tcPr>
            <w:tcW w:w="1800" w:type="dxa"/>
          </w:tcPr>
          <w:p w14:paraId="5B48B155" w14:textId="292DCC71"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9. Elections to Purchase Power Priced at Tier 2 Rates</w:t>
            </w:r>
          </w:p>
        </w:tc>
        <w:tc>
          <w:tcPr>
            <w:tcW w:w="1800" w:type="dxa"/>
          </w:tcPr>
          <w:p w14:paraId="0EC7E7EB" w14:textId="5D08C93D"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9. Elections to Purchase Power Priced at Tier 2 Rates</w:t>
            </w:r>
          </w:p>
        </w:tc>
        <w:tc>
          <w:tcPr>
            <w:tcW w:w="5760" w:type="dxa"/>
          </w:tcPr>
          <w:p w14:paraId="2618D446" w14:textId="19BBC99F" w:rsidR="00C5113D" w:rsidRPr="000F0FBC" w:rsidRDefault="00E02C8E" w:rsidP="00000B4D">
            <w:pPr>
              <w:rPr>
                <w:rFonts w:ascii="Century Schoolbook" w:hAnsi="Century Schoolbook"/>
                <w:sz w:val="20"/>
                <w:szCs w:val="20"/>
              </w:rPr>
            </w:pPr>
            <w:r>
              <w:rPr>
                <w:rFonts w:ascii="Century Schoolbook" w:hAnsi="Century Schoolbook"/>
                <w:sz w:val="20"/>
                <w:szCs w:val="20"/>
              </w:rPr>
              <w:t>C</w:t>
            </w:r>
            <w:r w:rsidR="00C5113D" w:rsidRPr="008D2C35">
              <w:rPr>
                <w:rFonts w:ascii="Century Schoolbook" w:hAnsi="Century Schoolbook"/>
                <w:sz w:val="20"/>
                <w:szCs w:val="20"/>
              </w:rPr>
              <w:t>ustomer</w:t>
            </w:r>
            <w:r>
              <w:rPr>
                <w:rFonts w:ascii="Century Schoolbook" w:hAnsi="Century Schoolbook"/>
                <w:sz w:val="20"/>
                <w:szCs w:val="20"/>
              </w:rPr>
              <w:t xml:space="preserve"> election</w:t>
            </w:r>
            <w:r w:rsidR="00C5113D" w:rsidRPr="008D2C35">
              <w:rPr>
                <w:rFonts w:ascii="Century Schoolbook" w:hAnsi="Century Schoolbook"/>
                <w:sz w:val="20"/>
                <w:szCs w:val="20"/>
              </w:rPr>
              <w:t xml:space="preserve">s </w:t>
            </w:r>
            <w:r>
              <w:rPr>
                <w:rFonts w:ascii="Century Schoolbook" w:hAnsi="Century Schoolbook"/>
                <w:sz w:val="20"/>
                <w:szCs w:val="20"/>
              </w:rPr>
              <w:t>for</w:t>
            </w:r>
            <w:r w:rsidR="00C5113D" w:rsidRPr="008D2C35">
              <w:rPr>
                <w:rFonts w:ascii="Century Schoolbook" w:hAnsi="Century Schoolbook"/>
                <w:sz w:val="20"/>
                <w:szCs w:val="20"/>
              </w:rPr>
              <w:t xml:space="preserve"> serv</w:t>
            </w:r>
            <w:r>
              <w:rPr>
                <w:rFonts w:ascii="Century Schoolbook" w:hAnsi="Century Schoolbook"/>
                <w:sz w:val="20"/>
                <w:szCs w:val="20"/>
              </w:rPr>
              <w:t>in</w:t>
            </w:r>
            <w:r w:rsidR="001F791C">
              <w:rPr>
                <w:rFonts w:ascii="Century Schoolbook" w:hAnsi="Century Schoolbook"/>
                <w:sz w:val="20"/>
                <w:szCs w:val="20"/>
              </w:rPr>
              <w:t>g</w:t>
            </w:r>
            <w:r w:rsidR="00C5113D" w:rsidRPr="008D2C35">
              <w:rPr>
                <w:rFonts w:ascii="Century Schoolbook" w:hAnsi="Century Schoolbook"/>
                <w:sz w:val="20"/>
                <w:szCs w:val="20"/>
              </w:rPr>
              <w:t xml:space="preserve"> their Above-RHWM Load</w:t>
            </w:r>
            <w:r>
              <w:rPr>
                <w:rFonts w:ascii="Century Schoolbook" w:hAnsi="Century Schoolbook"/>
                <w:sz w:val="20"/>
                <w:szCs w:val="20"/>
              </w:rPr>
              <w:t>:</w:t>
            </w:r>
            <w:r w:rsidR="00C5113D" w:rsidRPr="008D2C35">
              <w:rPr>
                <w:rFonts w:ascii="Century Schoolbook" w:hAnsi="Century Schoolbook"/>
                <w:sz w:val="20"/>
                <w:szCs w:val="20"/>
              </w:rPr>
              <w:t xml:space="preserve"> </w:t>
            </w:r>
            <w:r>
              <w:rPr>
                <w:rFonts w:ascii="Century Schoolbook" w:hAnsi="Century Schoolbook"/>
                <w:sz w:val="20"/>
                <w:szCs w:val="20"/>
              </w:rPr>
              <w:t xml:space="preserve">1) </w:t>
            </w:r>
            <w:r w:rsidR="00C5113D" w:rsidRPr="008D2C35">
              <w:rPr>
                <w:rFonts w:ascii="Century Schoolbook" w:hAnsi="Century Schoolbook"/>
                <w:sz w:val="20"/>
                <w:szCs w:val="20"/>
              </w:rPr>
              <w:t>power purchased from BPA at Tier 2 rates</w:t>
            </w:r>
            <w:r>
              <w:rPr>
                <w:rFonts w:ascii="Century Schoolbook" w:hAnsi="Century Schoolbook"/>
                <w:sz w:val="20"/>
                <w:szCs w:val="20"/>
              </w:rPr>
              <w:t>;</w:t>
            </w:r>
            <w:r w:rsidR="00C5113D" w:rsidRPr="008D2C35">
              <w:rPr>
                <w:rFonts w:ascii="Century Schoolbook" w:hAnsi="Century Schoolbook"/>
                <w:sz w:val="20"/>
                <w:szCs w:val="20"/>
              </w:rPr>
              <w:t xml:space="preserve"> </w:t>
            </w:r>
            <w:r>
              <w:rPr>
                <w:rFonts w:ascii="Century Schoolbook" w:hAnsi="Century Schoolbook"/>
                <w:sz w:val="20"/>
                <w:szCs w:val="20"/>
              </w:rPr>
              <w:t xml:space="preserve">2) </w:t>
            </w:r>
            <w:r w:rsidR="00C5113D" w:rsidRPr="008D2C35">
              <w:rPr>
                <w:rFonts w:ascii="Century Schoolbook" w:hAnsi="Century Schoolbook"/>
                <w:sz w:val="20"/>
                <w:szCs w:val="20"/>
              </w:rPr>
              <w:t>non-federal resources (i.e. Dedicated Resources)</w:t>
            </w:r>
            <w:r>
              <w:rPr>
                <w:rFonts w:ascii="Century Schoolbook" w:hAnsi="Century Schoolbook"/>
                <w:sz w:val="20"/>
                <w:szCs w:val="20"/>
              </w:rPr>
              <w:t>;</w:t>
            </w:r>
            <w:r w:rsidR="00C5113D" w:rsidRPr="008D2C35">
              <w:rPr>
                <w:rFonts w:ascii="Century Schoolbook" w:hAnsi="Century Schoolbook"/>
                <w:sz w:val="20"/>
                <w:szCs w:val="20"/>
              </w:rPr>
              <w:t xml:space="preserve"> or </w:t>
            </w:r>
            <w:r>
              <w:rPr>
                <w:rFonts w:ascii="Century Schoolbook" w:hAnsi="Century Schoolbook"/>
                <w:sz w:val="20"/>
                <w:szCs w:val="20"/>
              </w:rPr>
              <w:t xml:space="preserve">3) </w:t>
            </w:r>
            <w:r w:rsidR="00C5113D" w:rsidRPr="008D2C35">
              <w:rPr>
                <w:rFonts w:ascii="Century Schoolbook" w:hAnsi="Century Schoolbook"/>
                <w:sz w:val="20"/>
                <w:szCs w:val="20"/>
              </w:rPr>
              <w:t xml:space="preserve">a combination of both.  </w:t>
            </w:r>
            <w:r w:rsidR="00C5113D">
              <w:rPr>
                <w:rFonts w:ascii="Century Schoolbook" w:hAnsi="Century Schoolbook"/>
                <w:sz w:val="20"/>
                <w:szCs w:val="20"/>
              </w:rPr>
              <w:t>Established notice deadlines and purchase periods.</w:t>
            </w:r>
          </w:p>
        </w:tc>
        <w:tc>
          <w:tcPr>
            <w:tcW w:w="5310" w:type="dxa"/>
          </w:tcPr>
          <w:p w14:paraId="21945A39" w14:textId="2989878D" w:rsidR="00C5113D" w:rsidRPr="000F0FBC" w:rsidRDefault="00E02C8E" w:rsidP="00000B4D">
            <w:pPr>
              <w:rPr>
                <w:rFonts w:ascii="Century Schoolbook" w:hAnsi="Century Schoolbook"/>
                <w:sz w:val="20"/>
                <w:szCs w:val="20"/>
              </w:rPr>
            </w:pPr>
            <w:r>
              <w:rPr>
                <w:rFonts w:ascii="Century Schoolbook" w:hAnsi="Century Schoolbook"/>
                <w:sz w:val="20"/>
                <w:szCs w:val="20"/>
              </w:rPr>
              <w:t>C</w:t>
            </w:r>
            <w:r w:rsidR="00C5113D">
              <w:rPr>
                <w:rFonts w:ascii="Century Schoolbook" w:hAnsi="Century Schoolbook"/>
                <w:sz w:val="20"/>
                <w:szCs w:val="20"/>
              </w:rPr>
              <w:t>ustomer</w:t>
            </w:r>
            <w:r>
              <w:rPr>
                <w:rFonts w:ascii="Century Schoolbook" w:hAnsi="Century Schoolbook"/>
                <w:sz w:val="20"/>
                <w:szCs w:val="20"/>
              </w:rPr>
              <w:t xml:space="preserve"> elections for</w:t>
            </w:r>
            <w:r w:rsidR="00C5113D" w:rsidRPr="008D2C35">
              <w:rPr>
                <w:rFonts w:ascii="Century Schoolbook" w:hAnsi="Century Schoolbook"/>
                <w:sz w:val="20"/>
                <w:szCs w:val="20"/>
              </w:rPr>
              <w:t xml:space="preserve"> serv</w:t>
            </w:r>
            <w:r>
              <w:rPr>
                <w:rFonts w:ascii="Century Schoolbook" w:hAnsi="Century Schoolbook"/>
                <w:sz w:val="20"/>
                <w:szCs w:val="20"/>
              </w:rPr>
              <w:t>ing</w:t>
            </w:r>
            <w:r w:rsidR="00C5113D" w:rsidRPr="008D2C35">
              <w:rPr>
                <w:rFonts w:ascii="Century Schoolbook" w:hAnsi="Century Schoolbook"/>
                <w:sz w:val="20"/>
                <w:szCs w:val="20"/>
              </w:rPr>
              <w:t xml:space="preserve"> their Above-CHWM Load</w:t>
            </w:r>
            <w:r>
              <w:rPr>
                <w:rFonts w:ascii="Century Schoolbook" w:hAnsi="Century Schoolbook"/>
                <w:sz w:val="20"/>
                <w:szCs w:val="20"/>
              </w:rPr>
              <w:t>:</w:t>
            </w:r>
            <w:r w:rsidR="00C5113D" w:rsidRPr="008D2C35">
              <w:rPr>
                <w:rFonts w:ascii="Century Schoolbook" w:hAnsi="Century Schoolbook"/>
                <w:sz w:val="20"/>
                <w:szCs w:val="20"/>
              </w:rPr>
              <w:t xml:space="preserve"> </w:t>
            </w:r>
            <w:r>
              <w:rPr>
                <w:rFonts w:ascii="Century Schoolbook" w:hAnsi="Century Schoolbook"/>
                <w:sz w:val="20"/>
                <w:szCs w:val="20"/>
              </w:rPr>
              <w:t xml:space="preserve">1) </w:t>
            </w:r>
            <w:r w:rsidR="00C5113D" w:rsidRPr="008D2C35">
              <w:rPr>
                <w:rFonts w:ascii="Century Schoolbook" w:hAnsi="Century Schoolbook"/>
                <w:sz w:val="20"/>
                <w:szCs w:val="20"/>
              </w:rPr>
              <w:t>power purchased from BPA at Tier 2 rates</w:t>
            </w:r>
            <w:r>
              <w:rPr>
                <w:rFonts w:ascii="Century Schoolbook" w:hAnsi="Century Schoolbook"/>
                <w:sz w:val="20"/>
                <w:szCs w:val="20"/>
              </w:rPr>
              <w:t>;</w:t>
            </w:r>
            <w:r w:rsidR="00C5113D" w:rsidRPr="008D2C35">
              <w:rPr>
                <w:rFonts w:ascii="Century Schoolbook" w:hAnsi="Century Schoolbook"/>
                <w:sz w:val="20"/>
                <w:szCs w:val="20"/>
              </w:rPr>
              <w:t xml:space="preserve"> </w:t>
            </w:r>
            <w:r>
              <w:rPr>
                <w:rFonts w:ascii="Century Schoolbook" w:hAnsi="Century Schoolbook"/>
                <w:sz w:val="20"/>
                <w:szCs w:val="20"/>
              </w:rPr>
              <w:t>2)</w:t>
            </w:r>
            <w:r w:rsidR="00CE1E4D">
              <w:rPr>
                <w:rFonts w:ascii="Century Schoolbook" w:hAnsi="Century Schoolbook"/>
                <w:sz w:val="20"/>
                <w:szCs w:val="20"/>
              </w:rPr>
              <w:t> </w:t>
            </w:r>
            <w:r w:rsidR="00C5113D" w:rsidRPr="008D2C35">
              <w:rPr>
                <w:rFonts w:ascii="Century Schoolbook" w:hAnsi="Century Schoolbook"/>
                <w:sz w:val="20"/>
                <w:szCs w:val="20"/>
              </w:rPr>
              <w:t>non-federal resources (i.e. Dedicated Resources)</w:t>
            </w:r>
            <w:r>
              <w:rPr>
                <w:rFonts w:ascii="Century Schoolbook" w:hAnsi="Century Schoolbook"/>
                <w:sz w:val="20"/>
                <w:szCs w:val="20"/>
              </w:rPr>
              <w:t>;</w:t>
            </w:r>
            <w:r w:rsidR="00C5113D" w:rsidRPr="008D2C35">
              <w:rPr>
                <w:rFonts w:ascii="Century Schoolbook" w:hAnsi="Century Schoolbook"/>
                <w:sz w:val="20"/>
                <w:szCs w:val="20"/>
              </w:rPr>
              <w:t xml:space="preserve"> or </w:t>
            </w:r>
            <w:r>
              <w:rPr>
                <w:rFonts w:ascii="Century Schoolbook" w:hAnsi="Century Schoolbook"/>
                <w:sz w:val="20"/>
                <w:szCs w:val="20"/>
              </w:rPr>
              <w:t xml:space="preserve">3) </w:t>
            </w:r>
            <w:r w:rsidR="00C5113D" w:rsidRPr="008D2C35">
              <w:rPr>
                <w:rFonts w:ascii="Century Schoolbook" w:hAnsi="Century Schoolbook"/>
                <w:sz w:val="20"/>
                <w:szCs w:val="20"/>
              </w:rPr>
              <w:t>a combination of both.</w:t>
            </w:r>
            <w:r w:rsidR="00C5113D">
              <w:rPr>
                <w:rFonts w:ascii="Century Schoolbook" w:hAnsi="Century Schoolbook"/>
                <w:sz w:val="20"/>
                <w:szCs w:val="20"/>
              </w:rPr>
              <w:t xml:space="preserve"> </w:t>
            </w:r>
            <w:r w:rsidR="00AB6D27">
              <w:rPr>
                <w:rFonts w:ascii="Century Schoolbook" w:hAnsi="Century Schoolbook"/>
                <w:sz w:val="20"/>
                <w:szCs w:val="20"/>
              </w:rPr>
              <w:t xml:space="preserve"> </w:t>
            </w:r>
            <w:r>
              <w:rPr>
                <w:rFonts w:ascii="Century Schoolbook" w:hAnsi="Century Schoolbook"/>
                <w:sz w:val="20"/>
                <w:szCs w:val="20"/>
              </w:rPr>
              <w:t>C</w:t>
            </w:r>
            <w:r w:rsidR="00C5113D">
              <w:rPr>
                <w:rFonts w:ascii="Century Schoolbook" w:hAnsi="Century Schoolbook"/>
                <w:sz w:val="20"/>
                <w:szCs w:val="20"/>
              </w:rPr>
              <w:t>ustomer will make its Above-CHWM Load election for the term of the Agreement (and eliminates the RD concept of notice deadlines and purchase periods).</w:t>
            </w:r>
          </w:p>
        </w:tc>
      </w:tr>
      <w:tr w:rsidR="00FD419D" w:rsidRPr="000F0FBC" w14:paraId="3F955E45" w14:textId="77777777" w:rsidTr="00801E11">
        <w:trPr>
          <w:cantSplit/>
        </w:trPr>
        <w:tc>
          <w:tcPr>
            <w:tcW w:w="1800" w:type="dxa"/>
          </w:tcPr>
          <w:p w14:paraId="7A45B184" w14:textId="3969F63C"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lastRenderedPageBreak/>
              <w:t>10. Tier 2 Remarketing and Resource Removal</w:t>
            </w:r>
          </w:p>
        </w:tc>
        <w:tc>
          <w:tcPr>
            <w:tcW w:w="1800" w:type="dxa"/>
          </w:tcPr>
          <w:p w14:paraId="5EB818C0" w14:textId="351D2039"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10. Tier 2 Remarketing and Resource Removal</w:t>
            </w:r>
          </w:p>
        </w:tc>
        <w:tc>
          <w:tcPr>
            <w:tcW w:w="5760" w:type="dxa"/>
          </w:tcPr>
          <w:p w14:paraId="579A6B12" w14:textId="08BD63A0" w:rsidR="00C5113D" w:rsidRPr="006D6301" w:rsidRDefault="00CB72E1" w:rsidP="00000B4D">
            <w:pPr>
              <w:rPr>
                <w:rFonts w:ascii="Century Schoolbook" w:hAnsi="Century Schoolbook"/>
                <w:sz w:val="20"/>
                <w:szCs w:val="20"/>
              </w:rPr>
            </w:pPr>
            <w:r>
              <w:rPr>
                <w:rFonts w:ascii="Century Schoolbook" w:hAnsi="Century Schoolbook"/>
                <w:sz w:val="20"/>
                <w:szCs w:val="20"/>
              </w:rPr>
              <w:t>S</w:t>
            </w:r>
            <w:r w:rsidR="00C5113D" w:rsidRPr="006D6301">
              <w:rPr>
                <w:rFonts w:ascii="Century Schoolbook" w:hAnsi="Century Schoolbook"/>
                <w:sz w:val="20"/>
                <w:szCs w:val="20"/>
              </w:rPr>
              <w:t>tate</w:t>
            </w:r>
            <w:r w:rsidR="00AF7BA4">
              <w:rPr>
                <w:rFonts w:ascii="Century Schoolbook" w:hAnsi="Century Schoolbook"/>
                <w:sz w:val="20"/>
                <w:szCs w:val="20"/>
              </w:rPr>
              <w:t>d</w:t>
            </w:r>
            <w:r w:rsidR="00C5113D" w:rsidRPr="006D6301">
              <w:rPr>
                <w:rFonts w:ascii="Century Schoolbook" w:hAnsi="Century Schoolbook"/>
                <w:sz w:val="20"/>
                <w:szCs w:val="20"/>
              </w:rPr>
              <w:t xml:space="preserve"> the rights and obligations relating to non-</w:t>
            </w:r>
            <w:r w:rsidR="00C5113D">
              <w:rPr>
                <w:rFonts w:ascii="Century Schoolbook" w:hAnsi="Century Schoolbook"/>
                <w:sz w:val="20"/>
                <w:szCs w:val="20"/>
              </w:rPr>
              <w:t>f</w:t>
            </w:r>
            <w:r w:rsidR="00C5113D" w:rsidRPr="006D6301">
              <w:rPr>
                <w:rFonts w:ascii="Century Schoolbook" w:hAnsi="Century Schoolbook"/>
                <w:sz w:val="20"/>
                <w:szCs w:val="20"/>
              </w:rPr>
              <w:t>ederal resource removal and Tier 2 remarketing</w:t>
            </w:r>
            <w:r w:rsidR="00C5113D">
              <w:rPr>
                <w:rFonts w:ascii="Century Schoolbook" w:hAnsi="Century Schoolbook"/>
                <w:sz w:val="20"/>
                <w:szCs w:val="20"/>
              </w:rPr>
              <w:t>.</w:t>
            </w:r>
          </w:p>
        </w:tc>
        <w:tc>
          <w:tcPr>
            <w:tcW w:w="5310" w:type="dxa"/>
          </w:tcPr>
          <w:p w14:paraId="5A0A6BE7" w14:textId="05DC4E6E" w:rsidR="00C5113D" w:rsidRPr="006D6301" w:rsidRDefault="002800D4" w:rsidP="006D6301">
            <w:pPr>
              <w:keepNext/>
              <w:rPr>
                <w:rFonts w:ascii="Century Schoolbook" w:hAnsi="Century Schoolbook"/>
                <w:sz w:val="20"/>
                <w:szCs w:val="20"/>
              </w:rPr>
            </w:pPr>
            <w:r>
              <w:rPr>
                <w:rFonts w:ascii="Century Schoolbook" w:hAnsi="Century Schoolbook"/>
                <w:bCs/>
                <w:sz w:val="20"/>
                <w:szCs w:val="20"/>
              </w:rPr>
              <w:t>C</w:t>
            </w:r>
            <w:r w:rsidR="00C5113D" w:rsidRPr="006D6301">
              <w:rPr>
                <w:rFonts w:ascii="Century Schoolbook" w:hAnsi="Century Schoolbook"/>
                <w:bCs/>
                <w:sz w:val="20"/>
                <w:szCs w:val="20"/>
              </w:rPr>
              <w:t>hange</w:t>
            </w:r>
            <w:r w:rsidR="00C5113D">
              <w:rPr>
                <w:rFonts w:ascii="Century Schoolbook" w:hAnsi="Century Schoolbook"/>
                <w:bCs/>
                <w:sz w:val="20"/>
                <w:szCs w:val="20"/>
              </w:rPr>
              <w:t>s</w:t>
            </w:r>
            <w:r w:rsidR="00C5113D" w:rsidRPr="006D6301">
              <w:rPr>
                <w:rFonts w:ascii="Century Schoolbook" w:hAnsi="Century Schoolbook"/>
                <w:bCs/>
                <w:sz w:val="20"/>
                <w:szCs w:val="20"/>
              </w:rPr>
              <w:t xml:space="preserve"> </w:t>
            </w:r>
            <w:r w:rsidR="00AA6C36">
              <w:rPr>
                <w:rFonts w:ascii="Century Schoolbook" w:hAnsi="Century Schoolbook"/>
                <w:bCs/>
                <w:sz w:val="20"/>
                <w:szCs w:val="20"/>
              </w:rPr>
              <w:t>include</w:t>
            </w:r>
            <w:r w:rsidR="00C5113D" w:rsidRPr="006D6301">
              <w:rPr>
                <w:rFonts w:ascii="Century Schoolbook" w:hAnsi="Century Schoolbook"/>
                <w:bCs/>
                <w:sz w:val="20"/>
                <w:szCs w:val="20"/>
              </w:rPr>
              <w:t xml:space="preserve">:  </w:t>
            </w:r>
            <w:r w:rsidR="00C5113D">
              <w:rPr>
                <w:rFonts w:ascii="Century Schoolbook" w:hAnsi="Century Schoolbook"/>
                <w:bCs/>
                <w:sz w:val="20"/>
                <w:szCs w:val="20"/>
              </w:rPr>
              <w:t>1</w:t>
            </w:r>
            <w:r w:rsidR="00E02C8E">
              <w:rPr>
                <w:rFonts w:ascii="Century Schoolbook" w:hAnsi="Century Schoolbook"/>
                <w:bCs/>
                <w:sz w:val="20"/>
                <w:szCs w:val="20"/>
              </w:rPr>
              <w:t>)</w:t>
            </w:r>
            <w:r w:rsidR="00C5113D">
              <w:rPr>
                <w:rFonts w:ascii="Century Schoolbook" w:hAnsi="Century Schoolbook"/>
                <w:bCs/>
                <w:sz w:val="20"/>
                <w:szCs w:val="20"/>
              </w:rPr>
              <w:t xml:space="preserve"> </w:t>
            </w:r>
            <w:r w:rsidR="00FF43E6">
              <w:rPr>
                <w:rFonts w:ascii="Century Schoolbook" w:hAnsi="Century Schoolbook"/>
                <w:bCs/>
                <w:sz w:val="20"/>
                <w:szCs w:val="20"/>
              </w:rPr>
              <w:t xml:space="preserve">general </w:t>
            </w:r>
            <w:r w:rsidR="00C5113D" w:rsidRPr="006D6301">
              <w:rPr>
                <w:rFonts w:ascii="Century Schoolbook" w:hAnsi="Century Schoolbook"/>
                <w:bCs/>
                <w:sz w:val="20"/>
                <w:szCs w:val="20"/>
              </w:rPr>
              <w:t>require</w:t>
            </w:r>
            <w:r w:rsidR="00FF43E6">
              <w:rPr>
                <w:rFonts w:ascii="Century Schoolbook" w:hAnsi="Century Schoolbook"/>
                <w:bCs/>
                <w:sz w:val="20"/>
                <w:szCs w:val="20"/>
              </w:rPr>
              <w:t>ment</w:t>
            </w:r>
            <w:r w:rsidR="00C5113D" w:rsidRPr="006D6301">
              <w:rPr>
                <w:rFonts w:ascii="Century Schoolbook" w:hAnsi="Century Schoolbook"/>
                <w:bCs/>
                <w:sz w:val="20"/>
                <w:szCs w:val="20"/>
              </w:rPr>
              <w:t xml:space="preserve"> that New Resources serving Above-CHWM Load be removed prior to Tier 2 purchase amounts</w:t>
            </w:r>
            <w:r w:rsidR="00E02C8E">
              <w:rPr>
                <w:rFonts w:ascii="Century Schoolbook" w:hAnsi="Century Schoolbook"/>
                <w:bCs/>
                <w:sz w:val="20"/>
                <w:szCs w:val="20"/>
              </w:rPr>
              <w:t>;</w:t>
            </w:r>
            <w:r w:rsidR="00C5113D" w:rsidRPr="006D6301">
              <w:rPr>
                <w:rFonts w:ascii="Century Schoolbook" w:hAnsi="Century Schoolbook"/>
                <w:bCs/>
                <w:sz w:val="20"/>
                <w:szCs w:val="20"/>
              </w:rPr>
              <w:t xml:space="preserve"> </w:t>
            </w:r>
            <w:r w:rsidR="00C5113D">
              <w:rPr>
                <w:rFonts w:ascii="Century Schoolbook" w:hAnsi="Century Schoolbook"/>
                <w:bCs/>
                <w:sz w:val="20"/>
                <w:szCs w:val="20"/>
              </w:rPr>
              <w:t>2</w:t>
            </w:r>
            <w:r w:rsidR="00E02C8E">
              <w:rPr>
                <w:rFonts w:ascii="Century Schoolbook" w:hAnsi="Century Schoolbook"/>
                <w:bCs/>
                <w:sz w:val="20"/>
                <w:szCs w:val="20"/>
              </w:rPr>
              <w:t>)</w:t>
            </w:r>
            <w:r w:rsidR="00C5113D">
              <w:rPr>
                <w:rFonts w:ascii="Century Schoolbook" w:hAnsi="Century Schoolbook"/>
                <w:bCs/>
                <w:sz w:val="20"/>
                <w:szCs w:val="20"/>
              </w:rPr>
              <w:t xml:space="preserve"> </w:t>
            </w:r>
            <w:r w:rsidR="00C5113D" w:rsidRPr="006D6301">
              <w:rPr>
                <w:rFonts w:ascii="Century Schoolbook" w:hAnsi="Century Schoolbook"/>
                <w:bCs/>
                <w:sz w:val="20"/>
                <w:szCs w:val="20"/>
              </w:rPr>
              <w:t xml:space="preserve">if a temporary </w:t>
            </w:r>
            <w:r w:rsidR="00C5113D">
              <w:rPr>
                <w:rFonts w:ascii="Century Schoolbook" w:hAnsi="Century Schoolbook"/>
                <w:bCs/>
                <w:sz w:val="20"/>
                <w:szCs w:val="20"/>
              </w:rPr>
              <w:t>N</w:t>
            </w:r>
            <w:r w:rsidR="00C5113D" w:rsidRPr="006D6301">
              <w:rPr>
                <w:rFonts w:ascii="Century Schoolbook" w:hAnsi="Century Schoolbook"/>
                <w:bCs/>
                <w:sz w:val="20"/>
                <w:szCs w:val="20"/>
              </w:rPr>
              <w:t xml:space="preserve">ew </w:t>
            </w:r>
            <w:r w:rsidR="00C5113D">
              <w:rPr>
                <w:rFonts w:ascii="Century Schoolbook" w:hAnsi="Century Schoolbook"/>
                <w:bCs/>
                <w:sz w:val="20"/>
                <w:szCs w:val="20"/>
              </w:rPr>
              <w:t>R</w:t>
            </w:r>
            <w:r w:rsidR="00C5113D" w:rsidRPr="006D6301">
              <w:rPr>
                <w:rFonts w:ascii="Century Schoolbook" w:hAnsi="Century Schoolbook"/>
                <w:bCs/>
                <w:sz w:val="20"/>
                <w:szCs w:val="20"/>
              </w:rPr>
              <w:t xml:space="preserve">esource removal </w:t>
            </w:r>
            <w:r w:rsidR="00E02C8E">
              <w:rPr>
                <w:rFonts w:ascii="Century Schoolbook" w:hAnsi="Century Schoolbook"/>
                <w:bCs/>
                <w:sz w:val="20"/>
                <w:szCs w:val="20"/>
              </w:rPr>
              <w:t xml:space="preserve">by a customer </w:t>
            </w:r>
            <w:r w:rsidR="00C5113D" w:rsidRPr="006D6301">
              <w:rPr>
                <w:rFonts w:ascii="Century Schoolbook" w:hAnsi="Century Schoolbook"/>
                <w:bCs/>
                <w:sz w:val="20"/>
                <w:szCs w:val="20"/>
              </w:rPr>
              <w:t xml:space="preserve">would impact </w:t>
            </w:r>
            <w:r w:rsidR="00730545">
              <w:rPr>
                <w:rFonts w:ascii="Century Schoolbook" w:hAnsi="Century Schoolbook"/>
                <w:bCs/>
                <w:sz w:val="20"/>
                <w:szCs w:val="20"/>
              </w:rPr>
              <w:t>its</w:t>
            </w:r>
            <w:r w:rsidR="00E02C8E">
              <w:rPr>
                <w:rFonts w:ascii="Century Schoolbook" w:hAnsi="Century Schoolbook"/>
                <w:bCs/>
                <w:sz w:val="20"/>
                <w:szCs w:val="20"/>
              </w:rPr>
              <w:t xml:space="preserve"> obligation to comply with </w:t>
            </w:r>
            <w:r w:rsidR="00C5113D" w:rsidRPr="006D6301">
              <w:rPr>
                <w:rFonts w:ascii="Century Schoolbook" w:hAnsi="Century Schoolbook"/>
                <w:bCs/>
                <w:sz w:val="20"/>
                <w:szCs w:val="20"/>
              </w:rPr>
              <w:t>a state or federal</w:t>
            </w:r>
            <w:r w:rsidR="00E02C8E">
              <w:rPr>
                <w:rFonts w:ascii="Century Schoolbook" w:hAnsi="Century Schoolbook"/>
                <w:bCs/>
                <w:sz w:val="20"/>
                <w:szCs w:val="20"/>
              </w:rPr>
              <w:t xml:space="preserve"> law</w:t>
            </w:r>
            <w:r w:rsidR="001F791C">
              <w:rPr>
                <w:rFonts w:ascii="Century Schoolbook" w:hAnsi="Century Schoolbook"/>
                <w:bCs/>
                <w:sz w:val="20"/>
                <w:szCs w:val="20"/>
              </w:rPr>
              <w:t>, then</w:t>
            </w:r>
            <w:r w:rsidR="00C5113D" w:rsidRPr="006D6301">
              <w:rPr>
                <w:rFonts w:ascii="Century Schoolbook" w:hAnsi="Century Schoolbook"/>
                <w:bCs/>
                <w:sz w:val="20"/>
                <w:szCs w:val="20"/>
              </w:rPr>
              <w:t xml:space="preserve"> customer may </w:t>
            </w:r>
            <w:r w:rsidR="00730545">
              <w:rPr>
                <w:rFonts w:ascii="Century Schoolbook" w:hAnsi="Century Schoolbook"/>
                <w:bCs/>
                <w:sz w:val="20"/>
                <w:szCs w:val="20"/>
              </w:rPr>
              <w:t>reduce its</w:t>
            </w:r>
            <w:r w:rsidR="00C5113D" w:rsidRPr="006D6301">
              <w:rPr>
                <w:rFonts w:ascii="Century Schoolbook" w:hAnsi="Century Schoolbook"/>
                <w:bCs/>
                <w:sz w:val="20"/>
                <w:szCs w:val="20"/>
              </w:rPr>
              <w:t xml:space="preserve"> Tier 2 </w:t>
            </w:r>
            <w:r w:rsidR="00730545">
              <w:rPr>
                <w:rFonts w:ascii="Century Schoolbook" w:hAnsi="Century Schoolbook"/>
                <w:bCs/>
                <w:sz w:val="20"/>
                <w:szCs w:val="20"/>
              </w:rPr>
              <w:t>purchase obligation</w:t>
            </w:r>
            <w:r w:rsidR="00C5113D" w:rsidRPr="006D6301">
              <w:rPr>
                <w:rFonts w:ascii="Century Schoolbook" w:hAnsi="Century Schoolbook"/>
                <w:bCs/>
                <w:sz w:val="20"/>
                <w:szCs w:val="20"/>
              </w:rPr>
              <w:t xml:space="preserve"> in addition to existing resource removal</w:t>
            </w:r>
            <w:r w:rsidR="00C5113D">
              <w:rPr>
                <w:rFonts w:ascii="Century Schoolbook" w:hAnsi="Century Schoolbook"/>
                <w:bCs/>
                <w:sz w:val="20"/>
                <w:szCs w:val="20"/>
              </w:rPr>
              <w:t>.</w:t>
            </w:r>
          </w:p>
        </w:tc>
      </w:tr>
      <w:tr w:rsidR="00FD419D" w:rsidRPr="000F0FBC" w14:paraId="4AF16F68" w14:textId="77777777" w:rsidTr="00801E11">
        <w:trPr>
          <w:cantSplit/>
        </w:trPr>
        <w:tc>
          <w:tcPr>
            <w:tcW w:w="1800" w:type="dxa"/>
          </w:tcPr>
          <w:p w14:paraId="17756D04" w14:textId="3118393C"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11. Right to Change Purchase Obligation</w:t>
            </w:r>
          </w:p>
        </w:tc>
        <w:tc>
          <w:tcPr>
            <w:tcW w:w="1800" w:type="dxa"/>
          </w:tcPr>
          <w:p w14:paraId="0EE3F25F" w14:textId="095879AF"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11. Right to Change Purchase Obligation</w:t>
            </w:r>
          </w:p>
        </w:tc>
        <w:tc>
          <w:tcPr>
            <w:tcW w:w="5760" w:type="dxa"/>
          </w:tcPr>
          <w:p w14:paraId="59D5D7AA" w14:textId="3E972C60" w:rsidR="00C5113D" w:rsidRPr="000F0FBC" w:rsidRDefault="00730545" w:rsidP="00000B4D">
            <w:pPr>
              <w:rPr>
                <w:rFonts w:ascii="Century Schoolbook" w:hAnsi="Century Schoolbook"/>
                <w:sz w:val="20"/>
                <w:szCs w:val="20"/>
              </w:rPr>
            </w:pPr>
            <w:r>
              <w:rPr>
                <w:rFonts w:ascii="Century Schoolbook" w:hAnsi="Century Schoolbook"/>
                <w:sz w:val="20"/>
                <w:szCs w:val="20"/>
              </w:rPr>
              <w:t>C</w:t>
            </w:r>
            <w:r w:rsidR="00E463E6">
              <w:rPr>
                <w:rFonts w:ascii="Century Schoolbook" w:hAnsi="Century Schoolbook"/>
                <w:sz w:val="20"/>
                <w:szCs w:val="20"/>
              </w:rPr>
              <w:t xml:space="preserve">ustomers had a one-time right to change </w:t>
            </w:r>
            <w:r w:rsidR="002C3597">
              <w:rPr>
                <w:rFonts w:ascii="Century Schoolbook" w:hAnsi="Century Schoolbook"/>
                <w:sz w:val="20"/>
                <w:szCs w:val="20"/>
              </w:rPr>
              <w:t>their</w:t>
            </w:r>
            <w:r w:rsidR="00E463E6">
              <w:rPr>
                <w:rFonts w:ascii="Century Schoolbook" w:hAnsi="Century Schoolbook"/>
                <w:sz w:val="20"/>
                <w:szCs w:val="20"/>
              </w:rPr>
              <w:t xml:space="preserve"> purchase obligation, or product.  Per the terms of the Agreement, </w:t>
            </w:r>
            <w:r w:rsidR="002C3597">
              <w:rPr>
                <w:rFonts w:ascii="Century Schoolbook" w:hAnsi="Century Schoolbook"/>
                <w:sz w:val="20"/>
                <w:szCs w:val="20"/>
              </w:rPr>
              <w:t xml:space="preserve">a </w:t>
            </w:r>
            <w:r w:rsidR="00E463E6">
              <w:rPr>
                <w:rFonts w:ascii="Century Schoolbook" w:hAnsi="Century Schoolbook"/>
                <w:sz w:val="20"/>
                <w:szCs w:val="20"/>
              </w:rPr>
              <w:t xml:space="preserve">customer could notify BPA by </w:t>
            </w:r>
            <w:r w:rsidR="00E463E6" w:rsidRPr="00E463E6">
              <w:rPr>
                <w:rFonts w:ascii="Century Schoolbook" w:hAnsi="Century Schoolbook"/>
                <w:sz w:val="20"/>
                <w:szCs w:val="20"/>
              </w:rPr>
              <w:t>May 31, 2016, requesting to change its purchase obligation, which would be effective October 1, 2019.  There were limitations, and the customer might be subject to charges for switching products.</w:t>
            </w:r>
          </w:p>
        </w:tc>
        <w:tc>
          <w:tcPr>
            <w:tcW w:w="5310" w:type="dxa"/>
          </w:tcPr>
          <w:p w14:paraId="7BBF7496" w14:textId="7A4A448B" w:rsidR="00C5113D" w:rsidRPr="000F0FBC" w:rsidRDefault="00E463E6" w:rsidP="00000B4D">
            <w:pPr>
              <w:rPr>
                <w:rFonts w:ascii="Century Schoolbook" w:hAnsi="Century Schoolbook"/>
                <w:sz w:val="20"/>
                <w:szCs w:val="20"/>
              </w:rPr>
            </w:pPr>
            <w:r>
              <w:rPr>
                <w:rFonts w:ascii="Century Schoolbook" w:hAnsi="Century Schoolbook"/>
                <w:sz w:val="20"/>
                <w:szCs w:val="20"/>
              </w:rPr>
              <w:t xml:space="preserve">Customers have a one-time right to request a change to their purchase obligation, or product.  </w:t>
            </w:r>
            <w:r w:rsidR="00730545">
              <w:rPr>
                <w:rFonts w:ascii="Century Schoolbook" w:hAnsi="Century Schoolbook"/>
                <w:sz w:val="20"/>
                <w:szCs w:val="20"/>
              </w:rPr>
              <w:t>No</w:t>
            </w:r>
            <w:r>
              <w:rPr>
                <w:rFonts w:ascii="Century Schoolbook" w:hAnsi="Century Schoolbook"/>
                <w:sz w:val="20"/>
                <w:szCs w:val="20"/>
              </w:rPr>
              <w:t xml:space="preserve"> single deadline </w:t>
            </w:r>
            <w:r w:rsidR="00730545">
              <w:rPr>
                <w:rFonts w:ascii="Century Schoolbook" w:hAnsi="Century Schoolbook"/>
                <w:sz w:val="20"/>
                <w:szCs w:val="20"/>
              </w:rPr>
              <w:t xml:space="preserve">will be set </w:t>
            </w:r>
            <w:r>
              <w:rPr>
                <w:rFonts w:ascii="Century Schoolbook" w:hAnsi="Century Schoolbook"/>
                <w:sz w:val="20"/>
                <w:szCs w:val="20"/>
              </w:rPr>
              <w:t xml:space="preserve">by which </w:t>
            </w:r>
            <w:r w:rsidR="002C3597">
              <w:rPr>
                <w:rFonts w:ascii="Century Schoolbook" w:hAnsi="Century Schoolbook"/>
                <w:sz w:val="20"/>
                <w:szCs w:val="20"/>
              </w:rPr>
              <w:t xml:space="preserve">a customer has </w:t>
            </w:r>
            <w:r>
              <w:rPr>
                <w:rFonts w:ascii="Century Schoolbook" w:hAnsi="Century Schoolbook"/>
                <w:sz w:val="20"/>
                <w:szCs w:val="20"/>
              </w:rPr>
              <w:t xml:space="preserve">to request a product change; customer </w:t>
            </w:r>
            <w:r w:rsidR="002C3597">
              <w:rPr>
                <w:rFonts w:ascii="Century Schoolbook" w:hAnsi="Century Schoolbook"/>
                <w:sz w:val="20"/>
                <w:szCs w:val="20"/>
              </w:rPr>
              <w:t>can submit</w:t>
            </w:r>
            <w:r>
              <w:rPr>
                <w:rFonts w:ascii="Century Schoolbook" w:hAnsi="Century Schoolbook"/>
                <w:sz w:val="20"/>
                <w:szCs w:val="20"/>
              </w:rPr>
              <w:t xml:space="preserve"> a request to change products any time between October</w:t>
            </w:r>
            <w:r w:rsidR="00EC2850">
              <w:rPr>
                <w:rFonts w:ascii="Century Schoolbook" w:hAnsi="Century Schoolbook"/>
                <w:sz w:val="20"/>
                <w:szCs w:val="20"/>
              </w:rPr>
              <w:t> </w:t>
            </w:r>
            <w:r>
              <w:rPr>
                <w:rFonts w:ascii="Century Schoolbook" w:hAnsi="Century Schoolbook"/>
                <w:sz w:val="20"/>
                <w:szCs w:val="20"/>
              </w:rPr>
              <w:t>1, 2028</w:t>
            </w:r>
            <w:r w:rsidR="00730545">
              <w:rPr>
                <w:rFonts w:ascii="Century Schoolbook" w:hAnsi="Century Schoolbook"/>
                <w:sz w:val="20"/>
                <w:szCs w:val="20"/>
              </w:rPr>
              <w:t xml:space="preserve"> </w:t>
            </w:r>
            <w:r>
              <w:rPr>
                <w:rFonts w:ascii="Century Schoolbook" w:hAnsi="Century Schoolbook"/>
                <w:sz w:val="20"/>
                <w:szCs w:val="20"/>
              </w:rPr>
              <w:t xml:space="preserve">and </w:t>
            </w:r>
            <w:r w:rsidRPr="00E463E6">
              <w:rPr>
                <w:rFonts w:ascii="Century Schoolbook" w:hAnsi="Century Schoolbook"/>
                <w:sz w:val="20"/>
                <w:szCs w:val="20"/>
              </w:rPr>
              <w:t>September 30, 2037</w:t>
            </w:r>
            <w:r w:rsidR="00406E0E">
              <w:rPr>
                <w:rFonts w:ascii="Century Schoolbook" w:hAnsi="Century Schoolbook"/>
                <w:sz w:val="20"/>
                <w:szCs w:val="20"/>
              </w:rPr>
              <w:t>,</w:t>
            </w:r>
            <w:r w:rsidRPr="00E463E6">
              <w:rPr>
                <w:rFonts w:ascii="Century Schoolbook" w:hAnsi="Century Schoolbook"/>
                <w:sz w:val="20"/>
                <w:szCs w:val="20"/>
              </w:rPr>
              <w:t xml:space="preserve"> in accordance with limitations and charges outlined in the contract</w:t>
            </w:r>
            <w:r>
              <w:rPr>
                <w:rFonts w:ascii="Century Schoolbook" w:hAnsi="Century Schoolbook"/>
                <w:sz w:val="20"/>
                <w:szCs w:val="20"/>
              </w:rPr>
              <w:t xml:space="preserve">.  </w:t>
            </w:r>
            <w:r w:rsidR="0020399A">
              <w:rPr>
                <w:rFonts w:ascii="Century Schoolbook" w:hAnsi="Century Schoolbook"/>
                <w:sz w:val="20"/>
                <w:szCs w:val="20"/>
              </w:rPr>
              <w:t>Upon weighin</w:t>
            </w:r>
            <w:r w:rsidR="001A7136">
              <w:rPr>
                <w:rFonts w:ascii="Century Schoolbook" w:hAnsi="Century Schoolbook"/>
                <w:sz w:val="20"/>
                <w:szCs w:val="20"/>
              </w:rPr>
              <w:t>g</w:t>
            </w:r>
            <w:r w:rsidR="0020399A">
              <w:rPr>
                <w:rFonts w:ascii="Century Schoolbook" w:hAnsi="Century Schoolbook"/>
                <w:sz w:val="20"/>
                <w:szCs w:val="20"/>
              </w:rPr>
              <w:t xml:space="preserve"> approval of customer change requests, </w:t>
            </w:r>
            <w:r w:rsidRPr="00E463E6">
              <w:rPr>
                <w:rFonts w:ascii="Century Schoolbook" w:hAnsi="Century Schoolbook"/>
                <w:sz w:val="20"/>
                <w:szCs w:val="20"/>
              </w:rPr>
              <w:t xml:space="preserve">BPA will consider the impact of a customer’s product change request on the overall impact of BPA’s </w:t>
            </w:r>
            <w:r w:rsidR="00FD1D2C">
              <w:rPr>
                <w:rFonts w:ascii="Century Schoolbook" w:hAnsi="Century Schoolbook"/>
                <w:sz w:val="20"/>
                <w:szCs w:val="20"/>
              </w:rPr>
              <w:t xml:space="preserve">Western Resource </w:t>
            </w:r>
            <w:r w:rsidR="00342841">
              <w:rPr>
                <w:rFonts w:ascii="Century Schoolbook" w:hAnsi="Century Schoolbook"/>
                <w:sz w:val="20"/>
                <w:szCs w:val="20"/>
              </w:rPr>
              <w:t>Adequacy</w:t>
            </w:r>
            <w:r w:rsidR="00FD1D2C">
              <w:rPr>
                <w:rFonts w:ascii="Century Schoolbook" w:hAnsi="Century Schoolbook"/>
                <w:sz w:val="20"/>
                <w:szCs w:val="20"/>
              </w:rPr>
              <w:t xml:space="preserve"> Program (</w:t>
            </w:r>
            <w:r w:rsidRPr="00E463E6">
              <w:rPr>
                <w:rFonts w:ascii="Century Schoolbook" w:hAnsi="Century Schoolbook"/>
                <w:sz w:val="20"/>
                <w:szCs w:val="20"/>
              </w:rPr>
              <w:t>WRAP</w:t>
            </w:r>
            <w:r w:rsidR="00FD1D2C">
              <w:rPr>
                <w:rFonts w:ascii="Century Schoolbook" w:hAnsi="Century Schoolbook"/>
                <w:sz w:val="20"/>
                <w:szCs w:val="20"/>
              </w:rPr>
              <w:t>)</w:t>
            </w:r>
            <w:r w:rsidRPr="00E463E6">
              <w:rPr>
                <w:rFonts w:ascii="Century Schoolbook" w:hAnsi="Century Schoolbook"/>
                <w:sz w:val="20"/>
                <w:szCs w:val="20"/>
              </w:rPr>
              <w:t xml:space="preserve"> QCC obligations</w:t>
            </w:r>
            <w:r w:rsidR="00203D04">
              <w:rPr>
                <w:rFonts w:ascii="Century Schoolbook" w:hAnsi="Century Schoolbook"/>
                <w:sz w:val="20"/>
                <w:szCs w:val="20"/>
              </w:rPr>
              <w:t xml:space="preserve"> and the ability to secure </w:t>
            </w:r>
            <w:r w:rsidR="00203D04" w:rsidRPr="00770D7B">
              <w:rPr>
                <w:rFonts w:ascii="Century Schoolbook" w:hAnsi="Century Schoolbook"/>
                <w:sz w:val="20"/>
                <w:szCs w:val="20"/>
              </w:rPr>
              <w:t>transmission and metering sufficient to deliver the applicable product</w:t>
            </w:r>
            <w:r w:rsidR="00203D04">
              <w:rPr>
                <w:rFonts w:ascii="Century Schoolbook" w:hAnsi="Century Schoolbook"/>
                <w:sz w:val="20"/>
                <w:szCs w:val="20"/>
              </w:rPr>
              <w:t>.</w:t>
            </w:r>
            <w:r w:rsidR="00866F9B">
              <w:rPr>
                <w:rFonts w:ascii="Century Schoolbook" w:hAnsi="Century Schoolbook"/>
                <w:sz w:val="20"/>
                <w:szCs w:val="20"/>
              </w:rPr>
              <w:t xml:space="preserve">  For customers that operate their own Balancing Authority Area and request a change to the Load Following purchase obligation, BPA commits to work with the customer to identify, assess and attempt in good faith to resolve issues</w:t>
            </w:r>
            <w:r w:rsidR="004E6587">
              <w:rPr>
                <w:rFonts w:ascii="Century Schoolbook" w:hAnsi="Century Schoolbook"/>
                <w:sz w:val="20"/>
                <w:szCs w:val="20"/>
              </w:rPr>
              <w:t xml:space="preserve"> prior to deciding whether the customer can make the product change.</w:t>
            </w:r>
          </w:p>
        </w:tc>
      </w:tr>
      <w:tr w:rsidR="009A1F59" w:rsidRPr="000F0FBC" w14:paraId="0D10E94D" w14:textId="77777777" w:rsidTr="00801E11">
        <w:trPr>
          <w:cantSplit/>
        </w:trPr>
        <w:tc>
          <w:tcPr>
            <w:tcW w:w="1800" w:type="dxa"/>
          </w:tcPr>
          <w:p w14:paraId="1C88FDB1" w14:textId="2240DB9C" w:rsidR="009A1F59" w:rsidRPr="000F0FBC" w:rsidRDefault="009A1F59" w:rsidP="009A1F59">
            <w:pPr>
              <w:rPr>
                <w:rFonts w:ascii="Century Schoolbook" w:hAnsi="Century Schoolbook"/>
                <w:sz w:val="20"/>
                <w:szCs w:val="20"/>
              </w:rPr>
            </w:pPr>
            <w:bookmarkStart w:id="0" w:name="_Hlk181008332"/>
            <w:r w:rsidRPr="000F0FBC">
              <w:rPr>
                <w:rFonts w:ascii="Century Schoolbook" w:hAnsi="Century Schoolbook"/>
                <w:sz w:val="20"/>
                <w:szCs w:val="20"/>
              </w:rPr>
              <w:t>12. Billing Credits and Residential Exchange</w:t>
            </w:r>
          </w:p>
        </w:tc>
        <w:tc>
          <w:tcPr>
            <w:tcW w:w="1800" w:type="dxa"/>
          </w:tcPr>
          <w:p w14:paraId="4E792D91" w14:textId="2D35A985" w:rsidR="009A1F59" w:rsidRPr="000F0FBC" w:rsidRDefault="009A1F59" w:rsidP="009A1F59">
            <w:pPr>
              <w:rPr>
                <w:rFonts w:ascii="Century Schoolbook" w:hAnsi="Century Schoolbook"/>
                <w:sz w:val="20"/>
                <w:szCs w:val="20"/>
              </w:rPr>
            </w:pPr>
            <w:r w:rsidRPr="000F0FBC">
              <w:rPr>
                <w:rFonts w:ascii="Century Schoolbook" w:hAnsi="Century Schoolbook"/>
                <w:sz w:val="20"/>
                <w:szCs w:val="20"/>
              </w:rPr>
              <w:t>12. Billing Credits and Residential Exchange</w:t>
            </w:r>
          </w:p>
        </w:tc>
        <w:tc>
          <w:tcPr>
            <w:tcW w:w="5760" w:type="dxa"/>
          </w:tcPr>
          <w:p w14:paraId="19D5EB58" w14:textId="7F2AA3F7" w:rsidR="009A1F59" w:rsidRPr="000F0FBC" w:rsidRDefault="009A1F59" w:rsidP="009A1F59">
            <w:pPr>
              <w:rPr>
                <w:rFonts w:ascii="Century Schoolbook" w:hAnsi="Century Schoolbook"/>
                <w:sz w:val="20"/>
                <w:szCs w:val="20"/>
              </w:rPr>
            </w:pPr>
            <w:r>
              <w:rPr>
                <w:rFonts w:ascii="Century Schoolbook" w:hAnsi="Century Schoolbook"/>
                <w:sz w:val="20"/>
                <w:szCs w:val="20"/>
              </w:rPr>
              <w:t xml:space="preserve">This section </w:t>
            </w:r>
            <w:r w:rsidR="00730545">
              <w:rPr>
                <w:rFonts w:ascii="Century Schoolbook" w:hAnsi="Century Schoolbook"/>
                <w:sz w:val="20"/>
                <w:szCs w:val="20"/>
              </w:rPr>
              <w:t>provides for</w:t>
            </w:r>
            <w:r w:rsidRPr="00753CC9">
              <w:rPr>
                <w:rFonts w:ascii="Century Schoolbook" w:hAnsi="Century Schoolbook"/>
                <w:sz w:val="20"/>
                <w:szCs w:val="20"/>
              </w:rPr>
              <w:t xml:space="preserve"> a total waiver for Billing Credits and a partial waiver of participation in the Residential Exchange Program to protect customers from cost shifts associated with non-federal resources of other customers.  </w:t>
            </w:r>
          </w:p>
        </w:tc>
        <w:tc>
          <w:tcPr>
            <w:tcW w:w="5310" w:type="dxa"/>
          </w:tcPr>
          <w:p w14:paraId="3EB25660" w14:textId="527B9DC4" w:rsidR="009A1F59" w:rsidRPr="000F0FBC" w:rsidRDefault="00730545" w:rsidP="009A1F59">
            <w:pPr>
              <w:rPr>
                <w:rFonts w:ascii="Century Schoolbook" w:hAnsi="Century Schoolbook"/>
                <w:sz w:val="20"/>
                <w:szCs w:val="20"/>
              </w:rPr>
            </w:pPr>
            <w:r>
              <w:rPr>
                <w:rFonts w:ascii="Century Schoolbook" w:hAnsi="Century Schoolbook"/>
                <w:sz w:val="20"/>
                <w:szCs w:val="20"/>
              </w:rPr>
              <w:t>Continues</w:t>
            </w:r>
            <w:r w:rsidR="009A1F59" w:rsidRPr="00753CC9">
              <w:rPr>
                <w:rFonts w:ascii="Century Schoolbook" w:hAnsi="Century Schoolbook"/>
                <w:sz w:val="20"/>
                <w:szCs w:val="20"/>
              </w:rPr>
              <w:t xml:space="preserve"> the total waiver of Billing Credits and expand</w:t>
            </w:r>
            <w:r>
              <w:rPr>
                <w:rFonts w:ascii="Century Schoolbook" w:hAnsi="Century Schoolbook"/>
                <w:sz w:val="20"/>
                <w:szCs w:val="20"/>
              </w:rPr>
              <w:t>s</w:t>
            </w:r>
            <w:r w:rsidR="009A1F59" w:rsidRPr="00753CC9">
              <w:rPr>
                <w:rFonts w:ascii="Century Schoolbook" w:hAnsi="Century Schoolbook"/>
                <w:sz w:val="20"/>
                <w:szCs w:val="20"/>
              </w:rPr>
              <w:t xml:space="preserve"> the waiver for the REP to a complete waiver.</w:t>
            </w:r>
          </w:p>
        </w:tc>
      </w:tr>
      <w:bookmarkEnd w:id="0"/>
      <w:tr w:rsidR="00FD419D" w:rsidRPr="000F0FBC" w14:paraId="5CDD4643" w14:textId="77777777" w:rsidTr="00801E11">
        <w:trPr>
          <w:cantSplit/>
        </w:trPr>
        <w:tc>
          <w:tcPr>
            <w:tcW w:w="1800" w:type="dxa"/>
          </w:tcPr>
          <w:p w14:paraId="7C5F8457" w14:textId="031FDC6C"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13. Scheduling</w:t>
            </w:r>
          </w:p>
        </w:tc>
        <w:tc>
          <w:tcPr>
            <w:tcW w:w="1800" w:type="dxa"/>
          </w:tcPr>
          <w:p w14:paraId="7764ECDF" w14:textId="7EB50F7B"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13. Scheduling</w:t>
            </w:r>
          </w:p>
        </w:tc>
        <w:tc>
          <w:tcPr>
            <w:tcW w:w="5760" w:type="dxa"/>
          </w:tcPr>
          <w:p w14:paraId="75E01D2C" w14:textId="7EA28240" w:rsidR="00C5113D" w:rsidRPr="000F0FBC" w:rsidRDefault="00F824E2" w:rsidP="00000B4D">
            <w:pPr>
              <w:rPr>
                <w:rFonts w:ascii="Century Schoolbook" w:hAnsi="Century Schoolbook"/>
                <w:sz w:val="20"/>
                <w:szCs w:val="20"/>
              </w:rPr>
            </w:pPr>
            <w:r w:rsidRPr="00F824E2">
              <w:rPr>
                <w:rFonts w:ascii="Century Schoolbook" w:hAnsi="Century Schoolbook"/>
                <w:sz w:val="20"/>
                <w:szCs w:val="20"/>
              </w:rPr>
              <w:t xml:space="preserve">Depending on each customer’s circumstances, scheduling requirements can vary dramatically. </w:t>
            </w:r>
            <w:r w:rsidR="00B707BA">
              <w:rPr>
                <w:rFonts w:ascii="Century Schoolbook" w:hAnsi="Century Schoolbook"/>
                <w:sz w:val="20"/>
                <w:szCs w:val="20"/>
              </w:rPr>
              <w:t xml:space="preserve"> </w:t>
            </w:r>
            <w:r w:rsidR="003500D8">
              <w:rPr>
                <w:rFonts w:ascii="Century Schoolbook" w:hAnsi="Century Schoolbook"/>
                <w:sz w:val="20"/>
                <w:szCs w:val="20"/>
              </w:rPr>
              <w:t>T</w:t>
            </w:r>
            <w:r w:rsidRPr="00F824E2">
              <w:rPr>
                <w:rFonts w:ascii="Century Schoolbook" w:hAnsi="Century Schoolbook"/>
                <w:sz w:val="20"/>
                <w:szCs w:val="20"/>
              </w:rPr>
              <w:t xml:space="preserve">he bulk of the scheduling terms and conditions reside in Exhibit F.  </w:t>
            </w:r>
          </w:p>
        </w:tc>
        <w:tc>
          <w:tcPr>
            <w:tcW w:w="5310" w:type="dxa"/>
          </w:tcPr>
          <w:p w14:paraId="31CC0C0F" w14:textId="40B3201B" w:rsidR="00C5113D" w:rsidRPr="000F0FBC" w:rsidRDefault="002800D4" w:rsidP="00000B4D">
            <w:pPr>
              <w:rPr>
                <w:rFonts w:ascii="Century Schoolbook" w:hAnsi="Century Schoolbook"/>
                <w:sz w:val="20"/>
                <w:szCs w:val="20"/>
              </w:rPr>
            </w:pPr>
            <w:r>
              <w:rPr>
                <w:rFonts w:ascii="Century Schoolbook" w:hAnsi="Century Schoolbook"/>
                <w:sz w:val="20"/>
                <w:szCs w:val="20"/>
              </w:rPr>
              <w:t>F</w:t>
            </w:r>
            <w:r w:rsidR="00F824E2">
              <w:rPr>
                <w:rFonts w:ascii="Century Schoolbook" w:hAnsi="Century Schoolbook"/>
                <w:sz w:val="20"/>
                <w:szCs w:val="20"/>
              </w:rPr>
              <w:t xml:space="preserve">ew </w:t>
            </w:r>
            <w:r w:rsidR="003500D8">
              <w:rPr>
                <w:rFonts w:ascii="Century Schoolbook" w:hAnsi="Century Schoolbook"/>
                <w:sz w:val="20"/>
                <w:szCs w:val="20"/>
              </w:rPr>
              <w:t>changes are</w:t>
            </w:r>
            <w:r w:rsidR="00F824E2">
              <w:rPr>
                <w:rFonts w:ascii="Century Schoolbook" w:hAnsi="Century Schoolbook"/>
                <w:sz w:val="20"/>
                <w:szCs w:val="20"/>
              </w:rPr>
              <w:t xml:space="preserve"> proposed for </w:t>
            </w:r>
            <w:r w:rsidR="00477CE4">
              <w:rPr>
                <w:rFonts w:ascii="Century Schoolbook" w:hAnsi="Century Schoolbook"/>
                <w:sz w:val="20"/>
                <w:szCs w:val="20"/>
              </w:rPr>
              <w:t>this section</w:t>
            </w:r>
            <w:r w:rsidR="00F824E2">
              <w:rPr>
                <w:rFonts w:ascii="Century Schoolbook" w:hAnsi="Century Schoolbook"/>
                <w:sz w:val="20"/>
                <w:szCs w:val="20"/>
              </w:rPr>
              <w:t xml:space="preserve">.  The scheduling provisions in the body of the contract primarily </w:t>
            </w:r>
            <w:r w:rsidR="00092E68">
              <w:rPr>
                <w:rFonts w:ascii="Century Schoolbook" w:hAnsi="Century Schoolbook"/>
                <w:sz w:val="20"/>
                <w:szCs w:val="20"/>
              </w:rPr>
              <w:t xml:space="preserve">direct the reader to </w:t>
            </w:r>
            <w:r w:rsidR="00F824E2">
              <w:rPr>
                <w:rFonts w:ascii="Century Schoolbook" w:hAnsi="Century Schoolbook"/>
                <w:sz w:val="20"/>
                <w:szCs w:val="20"/>
              </w:rPr>
              <w:t>Exhibit F</w:t>
            </w:r>
            <w:r w:rsidR="00092E68">
              <w:rPr>
                <w:rFonts w:ascii="Century Schoolbook" w:hAnsi="Century Schoolbook"/>
                <w:sz w:val="20"/>
                <w:szCs w:val="20"/>
              </w:rPr>
              <w:t xml:space="preserve"> for the applicable scheduling terms and conditions</w:t>
            </w:r>
            <w:r w:rsidR="00F824E2">
              <w:rPr>
                <w:rFonts w:ascii="Century Schoolbook" w:hAnsi="Century Schoolbook"/>
                <w:sz w:val="20"/>
                <w:szCs w:val="20"/>
              </w:rPr>
              <w:t>.</w:t>
            </w:r>
          </w:p>
        </w:tc>
      </w:tr>
      <w:tr w:rsidR="00FD419D" w:rsidRPr="000F0FBC" w14:paraId="3F18A695" w14:textId="77777777" w:rsidTr="00801E11">
        <w:trPr>
          <w:cantSplit/>
        </w:trPr>
        <w:tc>
          <w:tcPr>
            <w:tcW w:w="1800" w:type="dxa"/>
          </w:tcPr>
          <w:p w14:paraId="49D6AD8C" w14:textId="7857BCB9"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lastRenderedPageBreak/>
              <w:t>14. Delivery</w:t>
            </w:r>
          </w:p>
        </w:tc>
        <w:tc>
          <w:tcPr>
            <w:tcW w:w="1800" w:type="dxa"/>
          </w:tcPr>
          <w:p w14:paraId="4BCCB0D9" w14:textId="58F00CD4"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14. Delivery</w:t>
            </w:r>
          </w:p>
        </w:tc>
        <w:tc>
          <w:tcPr>
            <w:tcW w:w="5760" w:type="dxa"/>
          </w:tcPr>
          <w:p w14:paraId="06A94F46" w14:textId="77C78D8F" w:rsidR="00C5113D" w:rsidRPr="000F0FBC" w:rsidRDefault="00477CE4" w:rsidP="00000B4D">
            <w:pPr>
              <w:rPr>
                <w:rFonts w:ascii="Century Schoolbook" w:hAnsi="Century Schoolbook"/>
                <w:sz w:val="20"/>
                <w:szCs w:val="20"/>
              </w:rPr>
            </w:pPr>
            <w:r>
              <w:rPr>
                <w:rFonts w:ascii="Century Schoolbook" w:hAnsi="Century Schoolbook"/>
                <w:sz w:val="20"/>
                <w:szCs w:val="20"/>
              </w:rPr>
              <w:t>A</w:t>
            </w:r>
            <w:r w:rsidR="00EB5EE2">
              <w:rPr>
                <w:rFonts w:ascii="Century Schoolbook" w:hAnsi="Century Schoolbook"/>
                <w:sz w:val="20"/>
                <w:szCs w:val="20"/>
              </w:rPr>
              <w:t>ddresse</w:t>
            </w:r>
            <w:r w:rsidR="003500D8">
              <w:rPr>
                <w:rFonts w:ascii="Century Schoolbook" w:hAnsi="Century Schoolbook"/>
                <w:sz w:val="20"/>
                <w:szCs w:val="20"/>
              </w:rPr>
              <w:t>s</w:t>
            </w:r>
            <w:r w:rsidR="00E45F41" w:rsidRPr="00A2557A">
              <w:rPr>
                <w:rFonts w:ascii="Century Schoolbook" w:hAnsi="Century Schoolbook"/>
                <w:sz w:val="20"/>
                <w:szCs w:val="20"/>
              </w:rPr>
              <w:t xml:space="preserve"> transmission, transfer service, </w:t>
            </w:r>
            <w:r w:rsidR="00A2557A">
              <w:rPr>
                <w:rFonts w:ascii="Century Schoolbook" w:hAnsi="Century Schoolbook"/>
                <w:sz w:val="20"/>
                <w:szCs w:val="20"/>
              </w:rPr>
              <w:t>l</w:t>
            </w:r>
            <w:r w:rsidR="00E45F41" w:rsidRPr="00A2557A">
              <w:rPr>
                <w:rFonts w:ascii="Century Schoolbook" w:hAnsi="Century Schoolbook"/>
                <w:sz w:val="20"/>
                <w:szCs w:val="20"/>
              </w:rPr>
              <w:t xml:space="preserve">osses, and other issues related to the delivery of power.  </w:t>
            </w:r>
            <w:r w:rsidR="003500D8">
              <w:rPr>
                <w:rFonts w:ascii="Century Schoolbook" w:hAnsi="Century Schoolbook"/>
                <w:sz w:val="20"/>
                <w:szCs w:val="20"/>
              </w:rPr>
              <w:t>E</w:t>
            </w:r>
            <w:r w:rsidR="00E45F41" w:rsidRPr="00A2557A">
              <w:rPr>
                <w:rFonts w:ascii="Century Schoolbook" w:hAnsi="Century Schoolbook"/>
                <w:sz w:val="20"/>
                <w:szCs w:val="20"/>
              </w:rPr>
              <w:t>stablishe</w:t>
            </w:r>
            <w:r w:rsidR="003500D8">
              <w:rPr>
                <w:rFonts w:ascii="Century Schoolbook" w:hAnsi="Century Schoolbook"/>
                <w:sz w:val="20"/>
                <w:szCs w:val="20"/>
              </w:rPr>
              <w:t>s</w:t>
            </w:r>
            <w:r w:rsidR="00E45F41" w:rsidRPr="00A2557A">
              <w:rPr>
                <w:rFonts w:ascii="Century Schoolbook" w:hAnsi="Century Schoolbook"/>
                <w:sz w:val="20"/>
                <w:szCs w:val="20"/>
              </w:rPr>
              <w:t xml:space="preserve"> the point</w:t>
            </w:r>
            <w:r w:rsidR="003500D8">
              <w:rPr>
                <w:rFonts w:ascii="Century Schoolbook" w:hAnsi="Century Schoolbook"/>
                <w:sz w:val="20"/>
                <w:szCs w:val="20"/>
              </w:rPr>
              <w:t>s</w:t>
            </w:r>
            <w:r w:rsidR="00E45F41" w:rsidRPr="00A2557A">
              <w:rPr>
                <w:rFonts w:ascii="Century Schoolbook" w:hAnsi="Century Schoolbook"/>
                <w:sz w:val="20"/>
                <w:szCs w:val="20"/>
              </w:rPr>
              <w:t xml:space="preserve"> for the delivery of </w:t>
            </w:r>
            <w:r w:rsidR="003500D8">
              <w:rPr>
                <w:rFonts w:ascii="Century Schoolbook" w:hAnsi="Century Schoolbook"/>
                <w:sz w:val="20"/>
                <w:szCs w:val="20"/>
              </w:rPr>
              <w:t>p</w:t>
            </w:r>
            <w:r w:rsidR="00E45F41" w:rsidRPr="00A2557A">
              <w:rPr>
                <w:rFonts w:ascii="Century Schoolbook" w:hAnsi="Century Schoolbook"/>
                <w:sz w:val="20"/>
                <w:szCs w:val="20"/>
              </w:rPr>
              <w:t>ower</w:t>
            </w:r>
            <w:r>
              <w:rPr>
                <w:rFonts w:ascii="Century Schoolbook" w:hAnsi="Century Schoolbook"/>
                <w:sz w:val="20"/>
                <w:szCs w:val="20"/>
              </w:rPr>
              <w:t xml:space="preserve">. </w:t>
            </w:r>
            <w:r w:rsidR="0052797B">
              <w:rPr>
                <w:rFonts w:ascii="Century Schoolbook" w:hAnsi="Century Schoolbook"/>
                <w:sz w:val="20"/>
                <w:szCs w:val="20"/>
              </w:rPr>
              <w:t xml:space="preserve"> </w:t>
            </w:r>
            <w:r w:rsidR="003500D8">
              <w:rPr>
                <w:rFonts w:ascii="Century Schoolbook" w:hAnsi="Century Schoolbook"/>
                <w:sz w:val="20"/>
                <w:szCs w:val="20"/>
              </w:rPr>
              <w:t>A</w:t>
            </w:r>
            <w:r w:rsidR="00E45F41" w:rsidRPr="00A2557A">
              <w:rPr>
                <w:rFonts w:ascii="Century Schoolbook" w:hAnsi="Century Schoolbook"/>
                <w:sz w:val="20"/>
                <w:szCs w:val="20"/>
              </w:rPr>
              <w:t>ddresse</w:t>
            </w:r>
            <w:r w:rsidR="003500D8">
              <w:rPr>
                <w:rFonts w:ascii="Century Schoolbook" w:hAnsi="Century Schoolbook"/>
                <w:sz w:val="20"/>
                <w:szCs w:val="20"/>
              </w:rPr>
              <w:t>s</w:t>
            </w:r>
            <w:r w:rsidR="00E45F41" w:rsidRPr="00A2557A">
              <w:rPr>
                <w:rFonts w:ascii="Century Schoolbook" w:hAnsi="Century Schoolbook"/>
                <w:sz w:val="20"/>
                <w:szCs w:val="20"/>
              </w:rPr>
              <w:t xml:space="preserve"> </w:t>
            </w:r>
            <w:r w:rsidR="00A2557A" w:rsidRPr="00A2557A">
              <w:rPr>
                <w:rFonts w:ascii="Century Schoolbook" w:hAnsi="Century Schoolbook"/>
                <w:sz w:val="20"/>
                <w:szCs w:val="20"/>
              </w:rPr>
              <w:t>delivery issues specific to customers either served by Transfer Service or are both directly connected and have PODs served by Transfer Service</w:t>
            </w:r>
            <w:r w:rsidR="00A2557A">
              <w:rPr>
                <w:rFonts w:ascii="Century Schoolbook" w:hAnsi="Century Schoolbook"/>
                <w:sz w:val="20"/>
                <w:szCs w:val="20"/>
              </w:rPr>
              <w:t>; such issues include ancillary services and direct assignment of costs</w:t>
            </w:r>
            <w:r w:rsidR="00A2557A" w:rsidRPr="00A2557A">
              <w:rPr>
                <w:rFonts w:ascii="Century Schoolbook" w:hAnsi="Century Schoolbook"/>
                <w:sz w:val="20"/>
                <w:szCs w:val="20"/>
              </w:rPr>
              <w:t>.</w:t>
            </w:r>
          </w:p>
        </w:tc>
        <w:tc>
          <w:tcPr>
            <w:tcW w:w="5310" w:type="dxa"/>
          </w:tcPr>
          <w:p w14:paraId="2852ED20" w14:textId="5A7A2CFE" w:rsidR="00C5113D" w:rsidRPr="000F0FBC" w:rsidRDefault="00092E68" w:rsidP="00000B4D">
            <w:pPr>
              <w:rPr>
                <w:rFonts w:ascii="Century Schoolbook" w:hAnsi="Century Schoolbook"/>
                <w:sz w:val="20"/>
                <w:szCs w:val="20"/>
              </w:rPr>
            </w:pPr>
            <w:r>
              <w:rPr>
                <w:rFonts w:ascii="Century Schoolbook" w:hAnsi="Century Schoolbook"/>
                <w:bCs/>
                <w:sz w:val="20"/>
                <w:szCs w:val="20"/>
              </w:rPr>
              <w:t>Some c</w:t>
            </w:r>
            <w:r w:rsidR="00DE7085" w:rsidRPr="006D6301">
              <w:rPr>
                <w:rFonts w:ascii="Century Schoolbook" w:hAnsi="Century Schoolbook"/>
                <w:bCs/>
                <w:sz w:val="20"/>
                <w:szCs w:val="20"/>
              </w:rPr>
              <w:t>hange</w:t>
            </w:r>
            <w:r w:rsidR="00DE7085">
              <w:rPr>
                <w:rFonts w:ascii="Century Schoolbook" w:hAnsi="Century Schoolbook"/>
                <w:bCs/>
                <w:sz w:val="20"/>
                <w:szCs w:val="20"/>
              </w:rPr>
              <w:t>s</w:t>
            </w:r>
            <w:r w:rsidR="00DE7085" w:rsidRPr="006D6301">
              <w:rPr>
                <w:rFonts w:ascii="Century Schoolbook" w:hAnsi="Century Schoolbook"/>
                <w:bCs/>
                <w:sz w:val="20"/>
                <w:szCs w:val="20"/>
              </w:rPr>
              <w:t xml:space="preserve">:  </w:t>
            </w:r>
            <w:r w:rsidR="006657BD">
              <w:rPr>
                <w:rFonts w:ascii="Century Schoolbook" w:hAnsi="Century Schoolbook"/>
                <w:bCs/>
                <w:sz w:val="20"/>
                <w:szCs w:val="20"/>
              </w:rPr>
              <w:t>1</w:t>
            </w:r>
            <w:r w:rsidR="003500D8">
              <w:rPr>
                <w:rFonts w:ascii="Century Schoolbook" w:hAnsi="Century Schoolbook"/>
                <w:bCs/>
                <w:sz w:val="20"/>
                <w:szCs w:val="20"/>
              </w:rPr>
              <w:t>)</w:t>
            </w:r>
            <w:r w:rsidR="008624BE">
              <w:rPr>
                <w:rFonts w:ascii="Century Schoolbook" w:hAnsi="Century Schoolbook"/>
                <w:bCs/>
                <w:sz w:val="20"/>
                <w:szCs w:val="20"/>
              </w:rPr>
              <w:t xml:space="preserve"> </w:t>
            </w:r>
            <w:r w:rsidR="006657BD">
              <w:rPr>
                <w:rFonts w:ascii="Century Schoolbook" w:hAnsi="Century Schoolbook"/>
                <w:bCs/>
                <w:sz w:val="20"/>
                <w:szCs w:val="20"/>
              </w:rPr>
              <w:t>add</w:t>
            </w:r>
            <w:r w:rsidR="00EB5EE2">
              <w:rPr>
                <w:rFonts w:ascii="Century Schoolbook" w:hAnsi="Century Schoolbook"/>
                <w:bCs/>
                <w:sz w:val="20"/>
                <w:szCs w:val="20"/>
              </w:rPr>
              <w:t>ing</w:t>
            </w:r>
            <w:r w:rsidR="006657BD">
              <w:rPr>
                <w:rFonts w:ascii="Century Schoolbook" w:hAnsi="Century Schoolbook"/>
                <w:bCs/>
                <w:sz w:val="20"/>
                <w:szCs w:val="20"/>
              </w:rPr>
              <w:t xml:space="preserve"> a section to address </w:t>
            </w:r>
            <w:r w:rsidR="00537D13">
              <w:rPr>
                <w:rFonts w:ascii="Century Schoolbook" w:hAnsi="Century Schoolbook"/>
                <w:bCs/>
                <w:sz w:val="20"/>
                <w:szCs w:val="20"/>
              </w:rPr>
              <w:t>terms and conditions</w:t>
            </w:r>
            <w:r w:rsidR="006657BD">
              <w:rPr>
                <w:rFonts w:ascii="Century Schoolbook" w:hAnsi="Century Schoolbook"/>
                <w:bCs/>
                <w:sz w:val="20"/>
                <w:szCs w:val="20"/>
              </w:rPr>
              <w:t xml:space="preserve"> if firm transmission is unavailable; 2</w:t>
            </w:r>
            <w:r w:rsidR="003500D8">
              <w:rPr>
                <w:rFonts w:ascii="Century Schoolbook" w:hAnsi="Century Schoolbook"/>
                <w:bCs/>
                <w:sz w:val="20"/>
                <w:szCs w:val="20"/>
              </w:rPr>
              <w:t>)</w:t>
            </w:r>
            <w:r w:rsidR="00CE1E4D">
              <w:rPr>
                <w:rFonts w:ascii="Century Schoolbook" w:hAnsi="Century Schoolbook"/>
                <w:bCs/>
                <w:sz w:val="20"/>
                <w:szCs w:val="20"/>
              </w:rPr>
              <w:t xml:space="preserve"> removes </w:t>
            </w:r>
            <w:r w:rsidR="006657BD">
              <w:rPr>
                <w:rFonts w:ascii="Century Schoolbook" w:hAnsi="Century Schoolbook"/>
                <w:bCs/>
                <w:sz w:val="20"/>
                <w:szCs w:val="20"/>
              </w:rPr>
              <w:t>“</w:t>
            </w:r>
            <w:r w:rsidR="00CE1E4D">
              <w:rPr>
                <w:rFonts w:ascii="Century Schoolbook" w:hAnsi="Century Schoolbook"/>
                <w:bCs/>
                <w:sz w:val="20"/>
                <w:szCs w:val="20"/>
              </w:rPr>
              <w:t>Baseline Delivery Percentages and Amounts</w:t>
            </w:r>
            <w:r w:rsidR="006657BD">
              <w:rPr>
                <w:rFonts w:ascii="Century Schoolbook" w:hAnsi="Century Schoolbook"/>
                <w:bCs/>
                <w:sz w:val="20"/>
                <w:szCs w:val="20"/>
              </w:rPr>
              <w:t xml:space="preserve">” </w:t>
            </w:r>
            <w:r w:rsidR="00AD3B04">
              <w:rPr>
                <w:rFonts w:ascii="Century Schoolbook" w:hAnsi="Century Schoolbook"/>
                <w:bCs/>
                <w:sz w:val="20"/>
                <w:szCs w:val="20"/>
              </w:rPr>
              <w:t>as it relates to</w:t>
            </w:r>
            <w:r w:rsidR="006657BD">
              <w:rPr>
                <w:rFonts w:ascii="Century Schoolbook" w:hAnsi="Century Schoolbook"/>
                <w:bCs/>
                <w:sz w:val="20"/>
                <w:szCs w:val="20"/>
              </w:rPr>
              <w:t xml:space="preserve"> the process and costs associated with </w:t>
            </w:r>
            <w:r w:rsidR="008624BE">
              <w:rPr>
                <w:rFonts w:ascii="Century Schoolbook" w:hAnsi="Century Schoolbook"/>
                <w:bCs/>
                <w:sz w:val="20"/>
                <w:szCs w:val="20"/>
              </w:rPr>
              <w:t xml:space="preserve">a Transfer </w:t>
            </w:r>
            <w:r w:rsidR="00AD3B04">
              <w:rPr>
                <w:rFonts w:ascii="Century Schoolbook" w:hAnsi="Century Schoolbook"/>
                <w:bCs/>
                <w:sz w:val="20"/>
                <w:szCs w:val="20"/>
              </w:rPr>
              <w:t>customer</w:t>
            </w:r>
            <w:r w:rsidR="008624BE">
              <w:rPr>
                <w:rFonts w:ascii="Century Schoolbook" w:hAnsi="Century Schoolbook"/>
                <w:bCs/>
                <w:sz w:val="20"/>
                <w:szCs w:val="20"/>
              </w:rPr>
              <w:t xml:space="preserve"> served over multiple transmission systems </w:t>
            </w:r>
            <w:r w:rsidR="006657BD">
              <w:rPr>
                <w:rFonts w:ascii="Century Schoolbook" w:hAnsi="Century Schoolbook"/>
                <w:bCs/>
                <w:sz w:val="20"/>
                <w:szCs w:val="20"/>
              </w:rPr>
              <w:t xml:space="preserve">adding a non-federal resource to serve </w:t>
            </w:r>
            <w:r w:rsidR="00AD3B04">
              <w:rPr>
                <w:rFonts w:ascii="Century Schoolbook" w:hAnsi="Century Schoolbook"/>
                <w:bCs/>
                <w:sz w:val="20"/>
                <w:szCs w:val="20"/>
              </w:rPr>
              <w:t xml:space="preserve">their </w:t>
            </w:r>
            <w:r w:rsidR="006657BD">
              <w:rPr>
                <w:rFonts w:ascii="Century Schoolbook" w:hAnsi="Century Schoolbook"/>
                <w:bCs/>
                <w:sz w:val="20"/>
                <w:szCs w:val="20"/>
              </w:rPr>
              <w:t>load</w:t>
            </w:r>
            <w:r w:rsidR="00DB33FB">
              <w:rPr>
                <w:rFonts w:ascii="Century Schoolbook" w:hAnsi="Century Schoolbook"/>
                <w:bCs/>
                <w:sz w:val="20"/>
                <w:szCs w:val="20"/>
              </w:rPr>
              <w:t>.</w:t>
            </w:r>
            <w:r w:rsidR="00B03133">
              <w:rPr>
                <w:rFonts w:ascii="Century Schoolbook" w:hAnsi="Century Schoolbook"/>
                <w:bCs/>
                <w:sz w:val="20"/>
                <w:szCs w:val="20"/>
              </w:rPr>
              <w:t xml:space="preserve"> </w:t>
            </w:r>
            <w:r w:rsidR="0052797B">
              <w:rPr>
                <w:rFonts w:ascii="Century Schoolbook" w:hAnsi="Century Schoolbook"/>
                <w:bCs/>
                <w:sz w:val="20"/>
                <w:szCs w:val="20"/>
              </w:rPr>
              <w:t xml:space="preserve"> </w:t>
            </w:r>
            <w:r w:rsidR="00DB33FB">
              <w:rPr>
                <w:rFonts w:ascii="Century Schoolbook" w:hAnsi="Century Schoolbook"/>
                <w:bCs/>
                <w:sz w:val="20"/>
                <w:szCs w:val="20"/>
              </w:rPr>
              <w:t>This RD “Proportional Scheduling” process is replaced in POC</w:t>
            </w:r>
            <w:r w:rsidR="00B03133">
              <w:rPr>
                <w:rFonts w:ascii="Century Schoolbook" w:hAnsi="Century Schoolbook"/>
                <w:bCs/>
                <w:sz w:val="20"/>
                <w:szCs w:val="20"/>
              </w:rPr>
              <w:t xml:space="preserve"> </w:t>
            </w:r>
            <w:r w:rsidR="00DB33FB">
              <w:rPr>
                <w:rFonts w:ascii="Century Schoolbook" w:hAnsi="Century Schoolbook"/>
                <w:bCs/>
                <w:sz w:val="20"/>
                <w:szCs w:val="20"/>
              </w:rPr>
              <w:t xml:space="preserve">with </w:t>
            </w:r>
            <w:r w:rsidR="00B03133">
              <w:rPr>
                <w:rFonts w:ascii="Century Schoolbook" w:hAnsi="Century Schoolbook"/>
                <w:bCs/>
                <w:sz w:val="20"/>
                <w:szCs w:val="20"/>
              </w:rPr>
              <w:t>a Delivery Plan obligation for such resources</w:t>
            </w:r>
            <w:r w:rsidR="006657BD">
              <w:rPr>
                <w:rFonts w:ascii="Century Schoolbook" w:hAnsi="Century Schoolbook"/>
                <w:bCs/>
                <w:sz w:val="20"/>
                <w:szCs w:val="20"/>
              </w:rPr>
              <w:t>; 3</w:t>
            </w:r>
            <w:r w:rsidR="00AD3B04">
              <w:rPr>
                <w:rFonts w:ascii="Century Schoolbook" w:hAnsi="Century Schoolbook"/>
                <w:bCs/>
                <w:sz w:val="20"/>
                <w:szCs w:val="20"/>
              </w:rPr>
              <w:t>)</w:t>
            </w:r>
            <w:r w:rsidR="00CE1E4D">
              <w:rPr>
                <w:rFonts w:ascii="Century Schoolbook" w:hAnsi="Century Schoolbook"/>
                <w:bCs/>
                <w:sz w:val="20"/>
                <w:szCs w:val="20"/>
              </w:rPr>
              <w:t> </w:t>
            </w:r>
            <w:r w:rsidR="00A4729D">
              <w:rPr>
                <w:rFonts w:ascii="Century Schoolbook" w:hAnsi="Century Schoolbook"/>
                <w:bCs/>
                <w:sz w:val="20"/>
                <w:szCs w:val="20"/>
              </w:rPr>
              <w:t>directly assigns</w:t>
            </w:r>
            <w:r w:rsidR="006657BD">
              <w:rPr>
                <w:rFonts w:ascii="Century Schoolbook" w:hAnsi="Century Schoolbook"/>
                <w:bCs/>
                <w:sz w:val="20"/>
                <w:szCs w:val="20"/>
              </w:rPr>
              <w:t xml:space="preserve"> </w:t>
            </w:r>
            <w:r w:rsidR="0018717B">
              <w:rPr>
                <w:rFonts w:ascii="Century Schoolbook" w:hAnsi="Century Schoolbook"/>
                <w:bCs/>
                <w:sz w:val="20"/>
                <w:szCs w:val="20"/>
              </w:rPr>
              <w:t>to the customer</w:t>
            </w:r>
            <w:r w:rsidR="006657BD">
              <w:rPr>
                <w:rFonts w:ascii="Century Schoolbook" w:hAnsi="Century Schoolbook"/>
                <w:bCs/>
                <w:sz w:val="20"/>
                <w:szCs w:val="20"/>
              </w:rPr>
              <w:t xml:space="preserve"> </w:t>
            </w:r>
            <w:r w:rsidR="00AD3B04">
              <w:rPr>
                <w:rFonts w:ascii="Century Schoolbook" w:hAnsi="Century Schoolbook"/>
                <w:bCs/>
                <w:sz w:val="20"/>
                <w:szCs w:val="20"/>
              </w:rPr>
              <w:t>any t</w:t>
            </w:r>
            <w:r w:rsidR="006657BD">
              <w:rPr>
                <w:rFonts w:ascii="Century Schoolbook" w:hAnsi="Century Schoolbook"/>
                <w:bCs/>
                <w:sz w:val="20"/>
                <w:szCs w:val="20"/>
              </w:rPr>
              <w:t xml:space="preserve">ransfer </w:t>
            </w:r>
            <w:r w:rsidR="00AD3B04">
              <w:rPr>
                <w:rFonts w:ascii="Century Schoolbook" w:hAnsi="Century Schoolbook"/>
                <w:bCs/>
                <w:sz w:val="20"/>
                <w:szCs w:val="20"/>
              </w:rPr>
              <w:t>s</w:t>
            </w:r>
            <w:r w:rsidR="006657BD">
              <w:rPr>
                <w:rFonts w:ascii="Century Schoolbook" w:hAnsi="Century Schoolbook"/>
                <w:bCs/>
                <w:sz w:val="20"/>
                <w:szCs w:val="20"/>
              </w:rPr>
              <w:t xml:space="preserve">ervice costs </w:t>
            </w:r>
            <w:r w:rsidR="00AD3B04">
              <w:rPr>
                <w:rFonts w:ascii="Century Schoolbook" w:hAnsi="Century Schoolbook"/>
                <w:bCs/>
                <w:sz w:val="20"/>
                <w:szCs w:val="20"/>
              </w:rPr>
              <w:t xml:space="preserve">incurred </w:t>
            </w:r>
            <w:r w:rsidR="006657BD">
              <w:rPr>
                <w:rFonts w:ascii="Century Schoolbook" w:hAnsi="Century Schoolbook"/>
                <w:bCs/>
                <w:sz w:val="20"/>
                <w:szCs w:val="20"/>
              </w:rPr>
              <w:t>for power sold at the NR rate</w:t>
            </w:r>
            <w:r w:rsidR="008624BE">
              <w:rPr>
                <w:rFonts w:ascii="Century Schoolbook" w:hAnsi="Century Schoolbook"/>
                <w:bCs/>
                <w:sz w:val="20"/>
                <w:szCs w:val="20"/>
              </w:rPr>
              <w:t>; and 4) revises BPA’s commitment to acquire and pay for Transfer Service to all Dedicated Resources serving transfer load and Consumer-Owned Resources serving transfer On-Site Consumer Load</w:t>
            </w:r>
            <w:r w:rsidR="006657BD">
              <w:rPr>
                <w:rFonts w:ascii="Century Schoolbook" w:hAnsi="Century Schoolbook"/>
                <w:bCs/>
                <w:sz w:val="20"/>
                <w:szCs w:val="20"/>
              </w:rPr>
              <w:t>.</w:t>
            </w:r>
          </w:p>
        </w:tc>
      </w:tr>
      <w:tr w:rsidR="00FD419D" w:rsidRPr="000F0FBC" w14:paraId="5407773C" w14:textId="77777777" w:rsidTr="00801E11">
        <w:trPr>
          <w:cantSplit/>
        </w:trPr>
        <w:tc>
          <w:tcPr>
            <w:tcW w:w="1800" w:type="dxa"/>
          </w:tcPr>
          <w:p w14:paraId="42C24277" w14:textId="1D4E9CA9"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15. Metering</w:t>
            </w:r>
          </w:p>
        </w:tc>
        <w:tc>
          <w:tcPr>
            <w:tcW w:w="1800" w:type="dxa"/>
          </w:tcPr>
          <w:p w14:paraId="317C9B6F" w14:textId="0C290918"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15. Metering</w:t>
            </w:r>
          </w:p>
        </w:tc>
        <w:tc>
          <w:tcPr>
            <w:tcW w:w="5760" w:type="dxa"/>
          </w:tcPr>
          <w:p w14:paraId="1463C0C0" w14:textId="3DF1ADBF" w:rsidR="00C5113D" w:rsidRPr="000F0FBC" w:rsidRDefault="00477CE4" w:rsidP="00000B4D">
            <w:pPr>
              <w:rPr>
                <w:rFonts w:ascii="Century Schoolbook" w:hAnsi="Century Schoolbook"/>
                <w:sz w:val="20"/>
                <w:szCs w:val="20"/>
              </w:rPr>
            </w:pPr>
            <w:r>
              <w:rPr>
                <w:rFonts w:ascii="Century Schoolbook" w:hAnsi="Century Schoolbook"/>
                <w:bCs/>
                <w:sz w:val="20"/>
                <w:szCs w:val="20"/>
              </w:rPr>
              <w:t>This section</w:t>
            </w:r>
            <w:r w:rsidR="00EB5EE2" w:rsidRPr="0052642B">
              <w:rPr>
                <w:rFonts w:ascii="Century Schoolbook" w:hAnsi="Century Schoolbook"/>
                <w:bCs/>
                <w:sz w:val="20"/>
                <w:szCs w:val="20"/>
              </w:rPr>
              <w:t xml:space="preserve"> primarily addresse</w:t>
            </w:r>
            <w:r w:rsidR="00A4729D">
              <w:rPr>
                <w:rFonts w:ascii="Century Schoolbook" w:hAnsi="Century Schoolbook"/>
                <w:bCs/>
                <w:sz w:val="20"/>
                <w:szCs w:val="20"/>
              </w:rPr>
              <w:t>s</w:t>
            </w:r>
            <w:r w:rsidR="00EB5EE2" w:rsidRPr="0052642B">
              <w:rPr>
                <w:rFonts w:ascii="Century Schoolbook" w:hAnsi="Century Schoolbook"/>
                <w:bCs/>
                <w:sz w:val="20"/>
                <w:szCs w:val="20"/>
              </w:rPr>
              <w:t xml:space="preserve"> </w:t>
            </w:r>
            <w:r w:rsidR="0052642B" w:rsidRPr="0052642B">
              <w:rPr>
                <w:rFonts w:ascii="Century Schoolbook" w:hAnsi="Century Schoolbook"/>
                <w:bCs/>
                <w:sz w:val="20"/>
                <w:szCs w:val="20"/>
              </w:rPr>
              <w:t xml:space="preserve">a customer’s </w:t>
            </w:r>
            <w:r w:rsidR="00EB5EE2" w:rsidRPr="0052642B">
              <w:rPr>
                <w:rFonts w:ascii="Century Schoolbook" w:hAnsi="Century Schoolbook"/>
                <w:bCs/>
                <w:sz w:val="20"/>
                <w:szCs w:val="20"/>
              </w:rPr>
              <w:t xml:space="preserve">metering equipment requirements.  The meter data requirements </w:t>
            </w:r>
            <w:r w:rsidR="00A4729D">
              <w:rPr>
                <w:rFonts w:ascii="Century Schoolbook" w:hAnsi="Century Schoolbook"/>
                <w:bCs/>
                <w:sz w:val="20"/>
                <w:szCs w:val="20"/>
              </w:rPr>
              <w:t>a</w:t>
            </w:r>
            <w:r w:rsidR="00E90CA6">
              <w:rPr>
                <w:rFonts w:ascii="Century Schoolbook" w:hAnsi="Century Schoolbook"/>
                <w:bCs/>
                <w:sz w:val="20"/>
                <w:szCs w:val="20"/>
              </w:rPr>
              <w:t>re</w:t>
            </w:r>
            <w:r w:rsidR="00EB5EE2" w:rsidRPr="0052642B">
              <w:rPr>
                <w:rFonts w:ascii="Century Schoolbook" w:hAnsi="Century Schoolbook"/>
                <w:bCs/>
                <w:sz w:val="20"/>
                <w:szCs w:val="20"/>
              </w:rPr>
              <w:t xml:space="preserve"> primarily </w:t>
            </w:r>
            <w:r w:rsidR="00A4729D">
              <w:rPr>
                <w:rFonts w:ascii="Century Schoolbook" w:hAnsi="Century Schoolbook"/>
                <w:bCs/>
                <w:sz w:val="20"/>
                <w:szCs w:val="20"/>
              </w:rPr>
              <w:t>found</w:t>
            </w:r>
            <w:r w:rsidR="00EB5EE2" w:rsidRPr="0052642B">
              <w:rPr>
                <w:rFonts w:ascii="Century Schoolbook" w:hAnsi="Century Schoolbook"/>
                <w:bCs/>
                <w:sz w:val="20"/>
                <w:szCs w:val="20"/>
              </w:rPr>
              <w:t xml:space="preserve"> in section 17 and Exhibit E.</w:t>
            </w:r>
            <w:r w:rsidR="00E90CA6">
              <w:rPr>
                <w:rFonts w:ascii="Century Schoolbook" w:hAnsi="Century Schoolbook"/>
                <w:bCs/>
                <w:sz w:val="20"/>
                <w:szCs w:val="20"/>
              </w:rPr>
              <w:t xml:space="preserve">  </w:t>
            </w:r>
            <w:r w:rsidR="00B707BA">
              <w:rPr>
                <w:rFonts w:ascii="Century Schoolbook" w:hAnsi="Century Schoolbook"/>
                <w:bCs/>
                <w:sz w:val="20"/>
                <w:szCs w:val="20"/>
              </w:rPr>
              <w:t>Exhibit </w:t>
            </w:r>
            <w:r w:rsidR="00E90CA6">
              <w:rPr>
                <w:rFonts w:ascii="Century Schoolbook" w:hAnsi="Century Schoolbook"/>
                <w:bCs/>
                <w:sz w:val="20"/>
                <w:szCs w:val="20"/>
              </w:rPr>
              <w:t>E establishe</w:t>
            </w:r>
            <w:r w:rsidR="00A4729D">
              <w:rPr>
                <w:rFonts w:ascii="Century Schoolbook" w:hAnsi="Century Schoolbook"/>
                <w:bCs/>
                <w:sz w:val="20"/>
                <w:szCs w:val="20"/>
              </w:rPr>
              <w:t>s</w:t>
            </w:r>
            <w:r w:rsidR="00E90CA6">
              <w:rPr>
                <w:rFonts w:ascii="Century Schoolbook" w:hAnsi="Century Schoolbook"/>
                <w:bCs/>
                <w:sz w:val="20"/>
                <w:szCs w:val="20"/>
              </w:rPr>
              <w:t xml:space="preserve"> the parties</w:t>
            </w:r>
            <w:r w:rsidR="00B707BA">
              <w:rPr>
                <w:rFonts w:ascii="Century Schoolbook" w:hAnsi="Century Schoolbook"/>
                <w:bCs/>
                <w:sz w:val="20"/>
                <w:szCs w:val="20"/>
              </w:rPr>
              <w:t>’</w:t>
            </w:r>
            <w:r w:rsidR="00E90CA6">
              <w:rPr>
                <w:rFonts w:ascii="Century Schoolbook" w:hAnsi="Century Schoolbook"/>
                <w:bCs/>
                <w:sz w:val="20"/>
                <w:szCs w:val="20"/>
              </w:rPr>
              <w:t xml:space="preserve"> rights and obligations for meters including, but not limited to, operating, maintaining, replacing, testing, providing access to, and paying for meters.</w:t>
            </w:r>
          </w:p>
        </w:tc>
        <w:tc>
          <w:tcPr>
            <w:tcW w:w="5310" w:type="dxa"/>
          </w:tcPr>
          <w:p w14:paraId="51E64DE8" w14:textId="0B6DE86F" w:rsidR="00C5113D" w:rsidRPr="000F0FBC" w:rsidRDefault="00092E68" w:rsidP="00000B4D">
            <w:pPr>
              <w:rPr>
                <w:rFonts w:ascii="Century Schoolbook" w:hAnsi="Century Schoolbook"/>
                <w:sz w:val="20"/>
                <w:szCs w:val="20"/>
              </w:rPr>
            </w:pPr>
            <w:r>
              <w:rPr>
                <w:rFonts w:ascii="Century Schoolbook" w:hAnsi="Century Schoolbook"/>
                <w:bCs/>
                <w:sz w:val="20"/>
                <w:szCs w:val="20"/>
              </w:rPr>
              <w:t xml:space="preserve">Updates to this section </w:t>
            </w:r>
            <w:r w:rsidR="00AC386F" w:rsidRPr="0052642B">
              <w:rPr>
                <w:rFonts w:ascii="Century Schoolbook" w:hAnsi="Century Schoolbook"/>
                <w:bCs/>
                <w:sz w:val="20"/>
                <w:szCs w:val="20"/>
              </w:rPr>
              <w:t>reflect current practices</w:t>
            </w:r>
            <w:r w:rsidR="0052642B">
              <w:rPr>
                <w:rFonts w:ascii="Century Schoolbook" w:hAnsi="Century Schoolbook"/>
                <w:bCs/>
                <w:sz w:val="20"/>
                <w:szCs w:val="20"/>
              </w:rPr>
              <w:t>, eliminate redundancy with requirements in sectio</w:t>
            </w:r>
            <w:r w:rsidR="00C23D21">
              <w:rPr>
                <w:rFonts w:ascii="Century Schoolbook" w:hAnsi="Century Schoolbook"/>
                <w:bCs/>
                <w:sz w:val="20"/>
                <w:szCs w:val="20"/>
              </w:rPr>
              <w:t>n 1</w:t>
            </w:r>
            <w:r w:rsidR="0052642B">
              <w:rPr>
                <w:rFonts w:ascii="Century Schoolbook" w:hAnsi="Century Schoolbook"/>
                <w:bCs/>
                <w:sz w:val="20"/>
                <w:szCs w:val="20"/>
              </w:rPr>
              <w:t>7,</w:t>
            </w:r>
            <w:r w:rsidR="00AC386F" w:rsidRPr="0052642B">
              <w:rPr>
                <w:rFonts w:ascii="Century Schoolbook" w:hAnsi="Century Schoolbook"/>
                <w:bCs/>
                <w:sz w:val="20"/>
                <w:szCs w:val="20"/>
              </w:rPr>
              <w:t xml:space="preserve"> and provide more consistency </w:t>
            </w:r>
            <w:r w:rsidR="009301C0">
              <w:rPr>
                <w:rFonts w:ascii="Century Schoolbook" w:hAnsi="Century Schoolbook"/>
                <w:bCs/>
                <w:sz w:val="20"/>
                <w:szCs w:val="20"/>
              </w:rPr>
              <w:t xml:space="preserve">in language </w:t>
            </w:r>
            <w:r w:rsidR="00AC386F" w:rsidRPr="0052642B">
              <w:rPr>
                <w:rFonts w:ascii="Century Schoolbook" w:hAnsi="Century Schoolbook"/>
                <w:bCs/>
                <w:sz w:val="20"/>
                <w:szCs w:val="20"/>
              </w:rPr>
              <w:t xml:space="preserve">between the Load Following version and Slice/Block and Block versions.  </w:t>
            </w:r>
            <w:r w:rsidR="0052642B" w:rsidRPr="0052642B">
              <w:rPr>
                <w:rFonts w:ascii="Century Schoolbook" w:hAnsi="Century Schoolbook"/>
                <w:bCs/>
                <w:sz w:val="20"/>
                <w:szCs w:val="20"/>
              </w:rPr>
              <w:t>Since the start of RD, BPA’s Transmission Services (BPAT) executed Network Operating Agreements (NOA) with its NT customers, which include language regarding the ownership, operation, maintenance and financial responsibilities for meters.  The POC contract is adding language referring to the NOA, BPA’s Metering Application Requirements, other BPAT agreements, and BPA’s metering website</w:t>
            </w:r>
            <w:r w:rsidR="00B707BA">
              <w:rPr>
                <w:rFonts w:ascii="Century Schoolbook" w:hAnsi="Century Schoolbook"/>
                <w:bCs/>
                <w:sz w:val="20"/>
                <w:szCs w:val="20"/>
              </w:rPr>
              <w:t xml:space="preserve">. </w:t>
            </w:r>
          </w:p>
        </w:tc>
      </w:tr>
      <w:tr w:rsidR="00FD419D" w:rsidRPr="000F0FBC" w14:paraId="215053AB" w14:textId="77777777" w:rsidTr="00801E11">
        <w:trPr>
          <w:cantSplit/>
        </w:trPr>
        <w:tc>
          <w:tcPr>
            <w:tcW w:w="1800" w:type="dxa"/>
          </w:tcPr>
          <w:p w14:paraId="3BFF25C1" w14:textId="6BDCC90C"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16. Billing and Payment</w:t>
            </w:r>
          </w:p>
        </w:tc>
        <w:tc>
          <w:tcPr>
            <w:tcW w:w="1800" w:type="dxa"/>
          </w:tcPr>
          <w:p w14:paraId="465833A8" w14:textId="1019C068"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16. Billing and Payment</w:t>
            </w:r>
          </w:p>
        </w:tc>
        <w:tc>
          <w:tcPr>
            <w:tcW w:w="5760" w:type="dxa"/>
          </w:tcPr>
          <w:p w14:paraId="40C28601" w14:textId="405A71FD" w:rsidR="00C5113D" w:rsidRPr="000F0FBC" w:rsidRDefault="0083290E" w:rsidP="00000B4D">
            <w:pPr>
              <w:rPr>
                <w:rFonts w:ascii="Century Schoolbook" w:hAnsi="Century Schoolbook"/>
                <w:sz w:val="20"/>
                <w:szCs w:val="20"/>
              </w:rPr>
            </w:pPr>
            <w:r w:rsidRPr="001355A8">
              <w:rPr>
                <w:rFonts w:ascii="Century Schoolbook" w:hAnsi="Century Schoolbook"/>
                <w:bCs/>
                <w:sz w:val="20"/>
                <w:szCs w:val="20"/>
              </w:rPr>
              <w:t xml:space="preserve">All electricity, products, and services sold and purchased under the contract </w:t>
            </w:r>
            <w:r w:rsidR="00926CEC">
              <w:rPr>
                <w:rFonts w:ascii="Century Schoolbook" w:hAnsi="Century Schoolbook"/>
                <w:bCs/>
                <w:sz w:val="20"/>
                <w:szCs w:val="20"/>
              </w:rPr>
              <w:t>i</w:t>
            </w:r>
            <w:r w:rsidRPr="001355A8">
              <w:rPr>
                <w:rFonts w:ascii="Century Schoolbook" w:hAnsi="Century Schoolbook"/>
                <w:bCs/>
                <w:sz w:val="20"/>
                <w:szCs w:val="20"/>
              </w:rPr>
              <w:t xml:space="preserve">s billed in accordance with </w:t>
            </w:r>
            <w:r w:rsidR="00477CE4">
              <w:rPr>
                <w:rFonts w:ascii="Century Schoolbook" w:hAnsi="Century Schoolbook"/>
                <w:bCs/>
                <w:sz w:val="20"/>
                <w:szCs w:val="20"/>
              </w:rPr>
              <w:t xml:space="preserve">this </w:t>
            </w:r>
            <w:r w:rsidRPr="001355A8">
              <w:rPr>
                <w:rFonts w:ascii="Century Schoolbook" w:hAnsi="Century Schoolbook"/>
                <w:bCs/>
                <w:sz w:val="20"/>
                <w:szCs w:val="20"/>
              </w:rPr>
              <w:t xml:space="preserve">section.  </w:t>
            </w:r>
            <w:r w:rsidR="001355A8" w:rsidRPr="001355A8">
              <w:rPr>
                <w:rFonts w:ascii="Century Schoolbook" w:hAnsi="Century Schoolbook"/>
                <w:bCs/>
                <w:sz w:val="20"/>
                <w:szCs w:val="20"/>
              </w:rPr>
              <w:t>This section addresse</w:t>
            </w:r>
            <w:r w:rsidR="00926CEC">
              <w:rPr>
                <w:rFonts w:ascii="Century Schoolbook" w:hAnsi="Century Schoolbook"/>
                <w:bCs/>
                <w:sz w:val="20"/>
                <w:szCs w:val="20"/>
              </w:rPr>
              <w:t>s</w:t>
            </w:r>
            <w:r w:rsidR="001355A8" w:rsidRPr="001355A8">
              <w:rPr>
                <w:rFonts w:ascii="Century Schoolbook" w:hAnsi="Century Schoolbook"/>
                <w:bCs/>
                <w:sz w:val="20"/>
                <w:szCs w:val="20"/>
              </w:rPr>
              <w:t xml:space="preserve"> payment options, late payments and the process for disputed bills.</w:t>
            </w:r>
          </w:p>
        </w:tc>
        <w:tc>
          <w:tcPr>
            <w:tcW w:w="5310" w:type="dxa"/>
          </w:tcPr>
          <w:p w14:paraId="019BA344" w14:textId="310DEED2" w:rsidR="00C5113D" w:rsidRPr="000F0FBC" w:rsidRDefault="009301C0" w:rsidP="00000B4D">
            <w:pPr>
              <w:rPr>
                <w:rFonts w:ascii="Century Schoolbook" w:hAnsi="Century Schoolbook"/>
                <w:sz w:val="20"/>
                <w:szCs w:val="20"/>
              </w:rPr>
            </w:pPr>
            <w:r>
              <w:rPr>
                <w:rFonts w:ascii="Century Schoolbook" w:hAnsi="Century Schoolbook"/>
                <w:sz w:val="20"/>
                <w:szCs w:val="20"/>
              </w:rPr>
              <w:t>U</w:t>
            </w:r>
            <w:r w:rsidR="001355A8">
              <w:rPr>
                <w:rFonts w:ascii="Century Schoolbook" w:hAnsi="Century Schoolbook"/>
                <w:sz w:val="20"/>
                <w:szCs w:val="20"/>
              </w:rPr>
              <w:t>pdate</w:t>
            </w:r>
            <w:r w:rsidR="00926CEC">
              <w:rPr>
                <w:rFonts w:ascii="Century Schoolbook" w:hAnsi="Century Schoolbook"/>
                <w:sz w:val="20"/>
                <w:szCs w:val="20"/>
              </w:rPr>
              <w:t>s and</w:t>
            </w:r>
            <w:r w:rsidR="001355A8">
              <w:rPr>
                <w:rFonts w:ascii="Century Schoolbook" w:hAnsi="Century Schoolbook"/>
                <w:sz w:val="20"/>
                <w:szCs w:val="20"/>
              </w:rPr>
              <w:t xml:space="preserve"> add</w:t>
            </w:r>
            <w:r w:rsidR="00926CEC">
              <w:rPr>
                <w:rFonts w:ascii="Century Schoolbook" w:hAnsi="Century Schoolbook"/>
                <w:sz w:val="20"/>
                <w:szCs w:val="20"/>
              </w:rPr>
              <w:t>s</w:t>
            </w:r>
            <w:r w:rsidR="001355A8">
              <w:rPr>
                <w:rFonts w:ascii="Century Schoolbook" w:hAnsi="Century Schoolbook"/>
                <w:sz w:val="20"/>
                <w:szCs w:val="20"/>
              </w:rPr>
              <w:t xml:space="preserve"> payment language specifically for federal agencies</w:t>
            </w:r>
            <w:r w:rsidR="00B707BA">
              <w:rPr>
                <w:rFonts w:ascii="Century Schoolbook" w:hAnsi="Century Schoolbook"/>
                <w:sz w:val="20"/>
                <w:szCs w:val="20"/>
              </w:rPr>
              <w:t>,</w:t>
            </w:r>
            <w:r w:rsidR="001355A8">
              <w:rPr>
                <w:rFonts w:ascii="Century Schoolbook" w:hAnsi="Century Schoolbook"/>
                <w:sz w:val="20"/>
                <w:szCs w:val="20"/>
              </w:rPr>
              <w:t xml:space="preserve"> and clari</w:t>
            </w:r>
            <w:r w:rsidR="00926CEC">
              <w:rPr>
                <w:rFonts w:ascii="Century Schoolbook" w:hAnsi="Century Schoolbook"/>
                <w:sz w:val="20"/>
                <w:szCs w:val="20"/>
              </w:rPr>
              <w:t>fies</w:t>
            </w:r>
            <w:r w:rsidR="001355A8">
              <w:rPr>
                <w:rFonts w:ascii="Century Schoolbook" w:hAnsi="Century Schoolbook"/>
                <w:sz w:val="20"/>
                <w:szCs w:val="20"/>
              </w:rPr>
              <w:t xml:space="preserve"> the timing and process for </w:t>
            </w:r>
            <w:r w:rsidR="00C23D21">
              <w:rPr>
                <w:rFonts w:ascii="Century Schoolbook" w:hAnsi="Century Schoolbook"/>
                <w:sz w:val="20"/>
                <w:szCs w:val="20"/>
              </w:rPr>
              <w:t xml:space="preserve">both estimated/final bills and </w:t>
            </w:r>
            <w:r w:rsidR="001355A8">
              <w:rPr>
                <w:rFonts w:ascii="Century Schoolbook" w:hAnsi="Century Schoolbook"/>
                <w:sz w:val="20"/>
                <w:szCs w:val="20"/>
              </w:rPr>
              <w:t>failure to pay.</w:t>
            </w:r>
          </w:p>
        </w:tc>
      </w:tr>
      <w:tr w:rsidR="00FD419D" w:rsidRPr="000F0FBC" w14:paraId="10B45489" w14:textId="77777777" w:rsidTr="00801E11">
        <w:trPr>
          <w:cantSplit/>
        </w:trPr>
        <w:tc>
          <w:tcPr>
            <w:tcW w:w="1800" w:type="dxa"/>
          </w:tcPr>
          <w:p w14:paraId="08262155" w14:textId="46F710C0"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lastRenderedPageBreak/>
              <w:t>17. Information Exchange and Confidentiality</w:t>
            </w:r>
          </w:p>
        </w:tc>
        <w:tc>
          <w:tcPr>
            <w:tcW w:w="1800" w:type="dxa"/>
          </w:tcPr>
          <w:p w14:paraId="39D97E4A" w14:textId="0F4A6DB8"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17. Information Exchange and Confidentiality</w:t>
            </w:r>
          </w:p>
        </w:tc>
        <w:tc>
          <w:tcPr>
            <w:tcW w:w="5760" w:type="dxa"/>
          </w:tcPr>
          <w:p w14:paraId="67CEB080" w14:textId="5BE03476" w:rsidR="00C5113D" w:rsidRPr="000F0FBC" w:rsidRDefault="00926CEC" w:rsidP="00000B4D">
            <w:pPr>
              <w:rPr>
                <w:rFonts w:ascii="Century Schoolbook" w:hAnsi="Century Schoolbook"/>
                <w:sz w:val="20"/>
                <w:szCs w:val="20"/>
              </w:rPr>
            </w:pPr>
            <w:r>
              <w:rPr>
                <w:rFonts w:ascii="Century Schoolbook" w:hAnsi="Century Schoolbook"/>
                <w:bCs/>
                <w:sz w:val="20"/>
                <w:szCs w:val="20"/>
              </w:rPr>
              <w:t xml:space="preserve">Performance of the </w:t>
            </w:r>
            <w:r w:rsidR="001355A8" w:rsidRPr="00B63C24">
              <w:rPr>
                <w:rFonts w:ascii="Century Schoolbook" w:hAnsi="Century Schoolbook"/>
                <w:bCs/>
                <w:sz w:val="20"/>
                <w:szCs w:val="20"/>
              </w:rPr>
              <w:t>contract require</w:t>
            </w:r>
            <w:r>
              <w:rPr>
                <w:rFonts w:ascii="Century Schoolbook" w:hAnsi="Century Schoolbook"/>
                <w:bCs/>
                <w:sz w:val="20"/>
                <w:szCs w:val="20"/>
              </w:rPr>
              <w:t>s</w:t>
            </w:r>
            <w:r w:rsidR="001355A8" w:rsidRPr="00B63C24">
              <w:rPr>
                <w:rFonts w:ascii="Century Schoolbook" w:hAnsi="Century Schoolbook"/>
                <w:bCs/>
                <w:sz w:val="20"/>
                <w:szCs w:val="20"/>
              </w:rPr>
              <w:t xml:space="preserve"> the parties to share a lot of information with each other.</w:t>
            </w:r>
            <w:r w:rsidR="00B63C24" w:rsidRPr="00B63C24">
              <w:rPr>
                <w:rFonts w:ascii="Century Schoolbook" w:hAnsi="Century Schoolbook"/>
                <w:bCs/>
                <w:sz w:val="20"/>
                <w:szCs w:val="20"/>
              </w:rPr>
              <w:t xml:space="preserve">  While detailed requirements of data provision are </w:t>
            </w:r>
            <w:r w:rsidR="00B63C24">
              <w:rPr>
                <w:rFonts w:ascii="Century Schoolbook" w:hAnsi="Century Schoolbook"/>
                <w:bCs/>
                <w:sz w:val="20"/>
                <w:szCs w:val="20"/>
              </w:rPr>
              <w:t xml:space="preserve">included </w:t>
            </w:r>
            <w:r w:rsidR="00B63C24" w:rsidRPr="00B63C24">
              <w:rPr>
                <w:rFonts w:ascii="Century Schoolbook" w:hAnsi="Century Schoolbook"/>
                <w:bCs/>
                <w:sz w:val="20"/>
                <w:szCs w:val="20"/>
              </w:rPr>
              <w:t>throughout the contact, this section describes general requirements of information exchange and addresses the customer’s right to, and process required for, confidentiality for information provided to BPA.</w:t>
            </w:r>
          </w:p>
        </w:tc>
        <w:tc>
          <w:tcPr>
            <w:tcW w:w="5310" w:type="dxa"/>
          </w:tcPr>
          <w:p w14:paraId="7F56139C" w14:textId="6FB98549" w:rsidR="00C5113D" w:rsidRPr="000F0FBC" w:rsidRDefault="009301C0" w:rsidP="00000B4D">
            <w:pPr>
              <w:rPr>
                <w:rFonts w:ascii="Century Schoolbook" w:hAnsi="Century Schoolbook"/>
                <w:sz w:val="20"/>
                <w:szCs w:val="20"/>
              </w:rPr>
            </w:pPr>
            <w:r>
              <w:rPr>
                <w:rFonts w:ascii="Century Schoolbook" w:hAnsi="Century Schoolbook"/>
                <w:sz w:val="20"/>
                <w:szCs w:val="20"/>
              </w:rPr>
              <w:t xml:space="preserve">Includes language </w:t>
            </w:r>
            <w:r w:rsidR="00D02F56">
              <w:rPr>
                <w:rFonts w:ascii="Century Schoolbook" w:hAnsi="Century Schoolbook"/>
                <w:sz w:val="20"/>
                <w:szCs w:val="20"/>
              </w:rPr>
              <w:t xml:space="preserve">that customers </w:t>
            </w:r>
            <w:r>
              <w:rPr>
                <w:rFonts w:ascii="Century Schoolbook" w:hAnsi="Century Schoolbook"/>
                <w:sz w:val="20"/>
                <w:szCs w:val="20"/>
              </w:rPr>
              <w:t xml:space="preserve">will </w:t>
            </w:r>
            <w:r w:rsidR="00D02F56">
              <w:rPr>
                <w:rFonts w:ascii="Century Schoolbook" w:hAnsi="Century Schoolbook"/>
                <w:sz w:val="20"/>
                <w:szCs w:val="20"/>
              </w:rPr>
              <w:t>provide meter data, historic load data, load and resource data related to NLSLs, resource information, battery and storage facility information (energy storage devices), information necessary for QCC calculation, and other information necessary to administer the contracts.</w:t>
            </w:r>
            <w:r w:rsidR="000500AF">
              <w:rPr>
                <w:rFonts w:ascii="Century Schoolbook" w:hAnsi="Century Schoolbook"/>
                <w:sz w:val="20"/>
                <w:szCs w:val="20"/>
              </w:rPr>
              <w:t xml:space="preserve">  </w:t>
            </w:r>
            <w:r w:rsidR="00C23D21">
              <w:rPr>
                <w:rFonts w:ascii="Century Schoolbook" w:hAnsi="Century Schoolbook"/>
                <w:sz w:val="20"/>
                <w:szCs w:val="20"/>
              </w:rPr>
              <w:t>BPA adjusted language and timing in the Total Retail Load forecast data submittals and the Net Requirements process sections to accommodate the Net Requirements process changing</w:t>
            </w:r>
            <w:r w:rsidR="0033407F">
              <w:rPr>
                <w:rFonts w:ascii="Century Schoolbook" w:hAnsi="Century Schoolbook"/>
                <w:sz w:val="20"/>
                <w:szCs w:val="20"/>
              </w:rPr>
              <w:t xml:space="preserve"> </w:t>
            </w:r>
            <w:r w:rsidR="00C23D21">
              <w:rPr>
                <w:rFonts w:ascii="Century Schoolbook" w:hAnsi="Century Schoolbook"/>
                <w:sz w:val="20"/>
                <w:szCs w:val="20"/>
              </w:rPr>
              <w:t xml:space="preserve">from an annual process </w:t>
            </w:r>
            <w:r w:rsidR="00827BF0">
              <w:rPr>
                <w:rFonts w:ascii="Century Schoolbook" w:hAnsi="Century Schoolbook"/>
                <w:sz w:val="20"/>
                <w:szCs w:val="20"/>
              </w:rPr>
              <w:t xml:space="preserve">(with exceptions) </w:t>
            </w:r>
            <w:r w:rsidR="00C23D21">
              <w:rPr>
                <w:rFonts w:ascii="Century Schoolbook" w:hAnsi="Century Schoolbook"/>
                <w:sz w:val="20"/>
                <w:szCs w:val="20"/>
              </w:rPr>
              <w:t xml:space="preserve">to an every-two-years process prior to a Rate Period. </w:t>
            </w:r>
            <w:r w:rsidR="000500AF">
              <w:rPr>
                <w:rFonts w:ascii="Century Schoolbook" w:hAnsi="Century Schoolbook"/>
                <w:sz w:val="20"/>
                <w:szCs w:val="20"/>
              </w:rPr>
              <w:t xml:space="preserve">Also, see </w:t>
            </w:r>
            <w:r w:rsidR="001F791C">
              <w:rPr>
                <w:rFonts w:ascii="Century Schoolbook" w:hAnsi="Century Schoolbook"/>
                <w:sz w:val="20"/>
                <w:szCs w:val="20"/>
              </w:rPr>
              <w:t>sections </w:t>
            </w:r>
            <w:r w:rsidR="000500AF">
              <w:rPr>
                <w:rFonts w:ascii="Century Schoolbook" w:hAnsi="Century Schoolbook"/>
                <w:sz w:val="20"/>
                <w:szCs w:val="20"/>
              </w:rPr>
              <w:t>18 and 19 below for elements pulled from those sections under RD and included in section 17 for POC.</w:t>
            </w:r>
          </w:p>
        </w:tc>
      </w:tr>
      <w:tr w:rsidR="00FD419D" w:rsidRPr="000F0FBC" w14:paraId="0280F36A" w14:textId="77777777" w:rsidTr="00801E11">
        <w:trPr>
          <w:cantSplit/>
        </w:trPr>
        <w:tc>
          <w:tcPr>
            <w:tcW w:w="1800" w:type="dxa"/>
          </w:tcPr>
          <w:p w14:paraId="0970EA10" w14:textId="355FE8C3"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18. Conservation and Renewables</w:t>
            </w:r>
          </w:p>
        </w:tc>
        <w:tc>
          <w:tcPr>
            <w:tcW w:w="1800" w:type="dxa"/>
          </w:tcPr>
          <w:p w14:paraId="4BD02D6C" w14:textId="043038B4" w:rsidR="00C5113D" w:rsidRPr="000F0FBC" w:rsidRDefault="00950DDA" w:rsidP="00000B4D">
            <w:pPr>
              <w:rPr>
                <w:rFonts w:ascii="Century Schoolbook" w:hAnsi="Century Schoolbook"/>
                <w:sz w:val="20"/>
                <w:szCs w:val="20"/>
              </w:rPr>
            </w:pPr>
            <w:r>
              <w:rPr>
                <w:rFonts w:ascii="Century Schoolbook" w:hAnsi="Century Schoolbook"/>
                <w:sz w:val="20"/>
                <w:szCs w:val="20"/>
              </w:rPr>
              <w:t xml:space="preserve">See </w:t>
            </w:r>
            <w:r w:rsidR="00765778">
              <w:rPr>
                <w:rFonts w:ascii="Century Schoolbook" w:hAnsi="Century Schoolbook"/>
                <w:sz w:val="20"/>
                <w:szCs w:val="20"/>
              </w:rPr>
              <w:t xml:space="preserve">17.2.4 under Information Exchange and Confidentiality </w:t>
            </w:r>
          </w:p>
        </w:tc>
        <w:tc>
          <w:tcPr>
            <w:tcW w:w="5760" w:type="dxa"/>
          </w:tcPr>
          <w:p w14:paraId="0C6B5843" w14:textId="0A501C45" w:rsidR="00C5113D" w:rsidRPr="000F0FBC" w:rsidRDefault="00926CEC" w:rsidP="000500AF">
            <w:pPr>
              <w:keepNext/>
              <w:tabs>
                <w:tab w:val="num" w:pos="1260"/>
              </w:tabs>
              <w:rPr>
                <w:rFonts w:ascii="Century Schoolbook" w:hAnsi="Century Schoolbook"/>
                <w:sz w:val="20"/>
                <w:szCs w:val="20"/>
              </w:rPr>
            </w:pPr>
            <w:r>
              <w:rPr>
                <w:rFonts w:ascii="Century Schoolbook" w:hAnsi="Century Schoolbook"/>
                <w:bCs/>
                <w:sz w:val="20"/>
                <w:szCs w:val="20"/>
              </w:rPr>
              <w:t>C</w:t>
            </w:r>
            <w:r w:rsidR="000500AF" w:rsidRPr="000500AF">
              <w:rPr>
                <w:rFonts w:ascii="Century Schoolbook" w:hAnsi="Century Schoolbook"/>
                <w:bCs/>
                <w:sz w:val="20"/>
                <w:szCs w:val="20"/>
              </w:rPr>
              <w:t>ustomer</w:t>
            </w:r>
            <w:r>
              <w:rPr>
                <w:rFonts w:ascii="Century Schoolbook" w:hAnsi="Century Schoolbook"/>
                <w:bCs/>
                <w:sz w:val="20"/>
                <w:szCs w:val="20"/>
              </w:rPr>
              <w:t>s agree to</w:t>
            </w:r>
            <w:r w:rsidR="000500AF" w:rsidRPr="000500AF">
              <w:rPr>
                <w:rFonts w:ascii="Century Schoolbook" w:hAnsi="Century Schoolbook"/>
                <w:bCs/>
                <w:sz w:val="20"/>
                <w:szCs w:val="20"/>
              </w:rPr>
              <w:t xml:space="preserve"> cooperate with BPA in any evaluation of conservation programs; provide a 10-year conservation plan to BPA; and report any non-BPA funded conservation measures.  The renewables section require</w:t>
            </w:r>
            <w:r>
              <w:rPr>
                <w:rFonts w:ascii="Century Schoolbook" w:hAnsi="Century Schoolbook"/>
                <w:bCs/>
                <w:sz w:val="20"/>
                <w:szCs w:val="20"/>
              </w:rPr>
              <w:t>s</w:t>
            </w:r>
            <w:r w:rsidR="000500AF" w:rsidRPr="000500AF">
              <w:rPr>
                <w:rFonts w:ascii="Century Schoolbook" w:hAnsi="Century Schoolbook"/>
                <w:bCs/>
                <w:sz w:val="20"/>
                <w:szCs w:val="20"/>
              </w:rPr>
              <w:t xml:space="preserve"> the customer to provide information regarding their renewable resource and REC acquisition plans and provide BPA with copies of any integrated resource plans or forecasts.</w:t>
            </w:r>
            <w:r w:rsidR="00FD419D">
              <w:rPr>
                <w:rFonts w:ascii="Century Schoolbook" w:hAnsi="Century Schoolbook"/>
                <w:bCs/>
                <w:sz w:val="20"/>
                <w:szCs w:val="20"/>
              </w:rPr>
              <w:t xml:space="preserve">  BPA </w:t>
            </w:r>
            <w:r>
              <w:rPr>
                <w:rFonts w:ascii="Century Schoolbook" w:hAnsi="Century Schoolbook"/>
                <w:bCs/>
                <w:sz w:val="20"/>
                <w:szCs w:val="20"/>
              </w:rPr>
              <w:t xml:space="preserve">has </w:t>
            </w:r>
            <w:r w:rsidR="00FD419D">
              <w:rPr>
                <w:rFonts w:ascii="Century Schoolbook" w:hAnsi="Century Schoolbook"/>
                <w:bCs/>
                <w:sz w:val="20"/>
                <w:szCs w:val="20"/>
              </w:rPr>
              <w:t>routinely waived the customers’ reporting requirements under section 18.</w:t>
            </w:r>
          </w:p>
        </w:tc>
        <w:tc>
          <w:tcPr>
            <w:tcW w:w="5310" w:type="dxa"/>
          </w:tcPr>
          <w:p w14:paraId="0D25B585" w14:textId="4A4D9060" w:rsidR="00C5113D" w:rsidRPr="000F0FBC" w:rsidRDefault="00B707BA" w:rsidP="00000B4D">
            <w:pPr>
              <w:rPr>
                <w:rFonts w:ascii="Century Schoolbook" w:hAnsi="Century Schoolbook"/>
                <w:sz w:val="20"/>
                <w:szCs w:val="20"/>
              </w:rPr>
            </w:pPr>
            <w:r>
              <w:rPr>
                <w:rFonts w:ascii="Century Schoolbook" w:hAnsi="Century Schoolbook"/>
                <w:sz w:val="20"/>
                <w:szCs w:val="20"/>
              </w:rPr>
              <w:t>S</w:t>
            </w:r>
            <w:r w:rsidR="00950DDA">
              <w:rPr>
                <w:rFonts w:ascii="Century Schoolbook" w:hAnsi="Century Schoolbook"/>
                <w:sz w:val="20"/>
                <w:szCs w:val="20"/>
              </w:rPr>
              <w:t xml:space="preserve">ection </w:t>
            </w:r>
            <w:r>
              <w:rPr>
                <w:rFonts w:ascii="Century Schoolbook" w:hAnsi="Century Schoolbook"/>
                <w:sz w:val="20"/>
                <w:szCs w:val="20"/>
              </w:rPr>
              <w:t xml:space="preserve">18 </w:t>
            </w:r>
            <w:r w:rsidR="00950DDA">
              <w:rPr>
                <w:rFonts w:ascii="Century Schoolbook" w:hAnsi="Century Schoolbook"/>
                <w:sz w:val="20"/>
                <w:szCs w:val="20"/>
              </w:rPr>
              <w:t>was</w:t>
            </w:r>
            <w:r w:rsidR="000500AF">
              <w:rPr>
                <w:rFonts w:ascii="Century Schoolbook" w:hAnsi="Century Schoolbook"/>
                <w:sz w:val="20"/>
                <w:szCs w:val="20"/>
              </w:rPr>
              <w:t xml:space="preserve"> </w:t>
            </w:r>
            <w:r w:rsidR="00950DDA">
              <w:rPr>
                <w:rFonts w:ascii="Century Schoolbook" w:hAnsi="Century Schoolbook"/>
                <w:sz w:val="20"/>
                <w:szCs w:val="20"/>
              </w:rPr>
              <w:t>removed</w:t>
            </w:r>
            <w:r w:rsidR="00C5113D" w:rsidRPr="000F0FBC">
              <w:rPr>
                <w:rFonts w:ascii="Century Schoolbook" w:hAnsi="Century Schoolbook"/>
                <w:sz w:val="20"/>
                <w:szCs w:val="20"/>
              </w:rPr>
              <w:t xml:space="preserve"> in </w:t>
            </w:r>
            <w:r w:rsidR="009175E4">
              <w:rPr>
                <w:rFonts w:ascii="Century Schoolbook" w:hAnsi="Century Schoolbook"/>
                <w:sz w:val="20"/>
                <w:szCs w:val="20"/>
              </w:rPr>
              <w:t>POC</w:t>
            </w:r>
            <w:r w:rsidR="00C5113D" w:rsidRPr="000F0FBC">
              <w:rPr>
                <w:rFonts w:ascii="Century Schoolbook" w:hAnsi="Century Schoolbook"/>
                <w:sz w:val="20"/>
                <w:szCs w:val="20"/>
              </w:rPr>
              <w:t>.</w:t>
            </w:r>
            <w:r w:rsidR="000500AF">
              <w:rPr>
                <w:rFonts w:ascii="Century Schoolbook" w:hAnsi="Century Schoolbook"/>
                <w:sz w:val="20"/>
                <w:szCs w:val="20"/>
              </w:rPr>
              <w:t xml:space="preserve">  However, </w:t>
            </w:r>
            <w:r w:rsidR="000500AF" w:rsidRPr="00FD419D">
              <w:rPr>
                <w:rFonts w:ascii="Century Schoolbook" w:hAnsi="Century Schoolbook"/>
                <w:sz w:val="20"/>
                <w:szCs w:val="20"/>
              </w:rPr>
              <w:t>BPA is retaining its ability to request customers’ long-term integrated resource plans</w:t>
            </w:r>
            <w:r w:rsidR="00950DDA">
              <w:rPr>
                <w:rFonts w:ascii="Century Schoolbook" w:hAnsi="Century Schoolbook"/>
                <w:sz w:val="20"/>
                <w:szCs w:val="20"/>
              </w:rPr>
              <w:t>;</w:t>
            </w:r>
            <w:r w:rsidR="000500AF" w:rsidRPr="00FD419D">
              <w:rPr>
                <w:rFonts w:ascii="Century Schoolbook" w:hAnsi="Century Schoolbook"/>
                <w:sz w:val="20"/>
                <w:szCs w:val="20"/>
              </w:rPr>
              <w:t xml:space="preserve"> BPA is including that element into a new section 17.2.4 </w:t>
            </w:r>
            <w:r w:rsidR="00765778">
              <w:rPr>
                <w:rFonts w:ascii="Century Schoolbook" w:hAnsi="Century Schoolbook"/>
                <w:sz w:val="20"/>
                <w:szCs w:val="20"/>
              </w:rPr>
              <w:t>in</w:t>
            </w:r>
            <w:r w:rsidR="00765778" w:rsidRPr="00FD419D">
              <w:rPr>
                <w:rFonts w:ascii="Century Schoolbook" w:hAnsi="Century Schoolbook"/>
                <w:sz w:val="20"/>
                <w:szCs w:val="20"/>
              </w:rPr>
              <w:t xml:space="preserve"> </w:t>
            </w:r>
            <w:r w:rsidR="000500AF" w:rsidRPr="00FD419D">
              <w:rPr>
                <w:rFonts w:ascii="Century Schoolbook" w:hAnsi="Century Schoolbook"/>
                <w:sz w:val="20"/>
                <w:szCs w:val="20"/>
              </w:rPr>
              <w:t>Information Exchange and Confidentiality</w:t>
            </w:r>
            <w:r w:rsidR="00765778">
              <w:rPr>
                <w:rFonts w:ascii="Century Schoolbook" w:hAnsi="Century Schoolbook"/>
                <w:sz w:val="20"/>
                <w:szCs w:val="20"/>
              </w:rPr>
              <w:t>.</w:t>
            </w:r>
          </w:p>
        </w:tc>
      </w:tr>
      <w:tr w:rsidR="00FD419D" w:rsidRPr="000F0FBC" w14:paraId="37583710" w14:textId="77777777" w:rsidTr="00801E11">
        <w:trPr>
          <w:cantSplit/>
        </w:trPr>
        <w:tc>
          <w:tcPr>
            <w:tcW w:w="1800" w:type="dxa"/>
          </w:tcPr>
          <w:p w14:paraId="644A4ED4" w14:textId="3B714E2B"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19. Resource Adequacy</w:t>
            </w:r>
          </w:p>
        </w:tc>
        <w:tc>
          <w:tcPr>
            <w:tcW w:w="1800" w:type="dxa"/>
          </w:tcPr>
          <w:p w14:paraId="11BF0844" w14:textId="39E474D7" w:rsidR="00C5113D" w:rsidRPr="000F0FBC" w:rsidRDefault="00950DDA" w:rsidP="00000B4D">
            <w:pPr>
              <w:rPr>
                <w:rFonts w:ascii="Century Schoolbook" w:hAnsi="Century Schoolbook"/>
                <w:sz w:val="20"/>
                <w:szCs w:val="20"/>
              </w:rPr>
            </w:pPr>
            <w:r>
              <w:rPr>
                <w:rFonts w:ascii="Century Schoolbook" w:hAnsi="Century Schoolbook"/>
                <w:sz w:val="20"/>
                <w:szCs w:val="20"/>
              </w:rPr>
              <w:t>See 17.2.3</w:t>
            </w:r>
            <w:r w:rsidR="00765778">
              <w:rPr>
                <w:rFonts w:ascii="Century Schoolbook" w:hAnsi="Century Schoolbook"/>
                <w:sz w:val="20"/>
                <w:szCs w:val="20"/>
              </w:rPr>
              <w:t xml:space="preserve"> under Information Exchange and Confidentiality</w:t>
            </w:r>
          </w:p>
        </w:tc>
        <w:tc>
          <w:tcPr>
            <w:tcW w:w="5760" w:type="dxa"/>
          </w:tcPr>
          <w:p w14:paraId="68ACC5BC" w14:textId="7EC7ED17" w:rsidR="00C5113D" w:rsidRPr="000F0FBC" w:rsidRDefault="00765778" w:rsidP="00000B4D">
            <w:pPr>
              <w:rPr>
                <w:rFonts w:ascii="Century Schoolbook" w:hAnsi="Century Schoolbook"/>
                <w:sz w:val="20"/>
                <w:szCs w:val="20"/>
              </w:rPr>
            </w:pPr>
            <w:r>
              <w:rPr>
                <w:rFonts w:ascii="Century Schoolbook" w:hAnsi="Century Schoolbook"/>
                <w:bCs/>
                <w:sz w:val="20"/>
                <w:szCs w:val="20"/>
              </w:rPr>
              <w:t>R</w:t>
            </w:r>
            <w:r w:rsidR="00FD419D" w:rsidRPr="00FD419D">
              <w:rPr>
                <w:rFonts w:ascii="Century Schoolbook" w:hAnsi="Century Schoolbook"/>
                <w:bCs/>
                <w:sz w:val="20"/>
                <w:szCs w:val="20"/>
              </w:rPr>
              <w:t>equire</w:t>
            </w:r>
            <w:r w:rsidR="00926CEC">
              <w:rPr>
                <w:rFonts w:ascii="Century Schoolbook" w:hAnsi="Century Schoolbook"/>
                <w:bCs/>
                <w:sz w:val="20"/>
                <w:szCs w:val="20"/>
              </w:rPr>
              <w:t>s</w:t>
            </w:r>
            <w:r w:rsidR="00FD419D" w:rsidRPr="00FD419D">
              <w:rPr>
                <w:rFonts w:ascii="Century Schoolbook" w:hAnsi="Century Schoolbook"/>
                <w:bCs/>
                <w:sz w:val="20"/>
                <w:szCs w:val="20"/>
              </w:rPr>
              <w:t xml:space="preserve"> certain customers to send forecasted loads and resources data to </w:t>
            </w:r>
            <w:r w:rsidR="007F558A">
              <w:rPr>
                <w:rFonts w:ascii="Century Schoolbook" w:hAnsi="Century Schoolbook"/>
                <w:bCs/>
                <w:sz w:val="20"/>
                <w:szCs w:val="20"/>
              </w:rPr>
              <w:t>Pacific Northwest Utilities Conference Committee (</w:t>
            </w:r>
            <w:r w:rsidR="00FD419D" w:rsidRPr="00FD419D">
              <w:rPr>
                <w:rFonts w:ascii="Century Schoolbook" w:hAnsi="Century Schoolbook"/>
                <w:bCs/>
                <w:sz w:val="20"/>
                <w:szCs w:val="20"/>
              </w:rPr>
              <w:t>PNUCC</w:t>
            </w:r>
            <w:r w:rsidR="007F558A">
              <w:rPr>
                <w:rFonts w:ascii="Century Schoolbook" w:hAnsi="Century Schoolbook"/>
                <w:bCs/>
                <w:sz w:val="20"/>
                <w:szCs w:val="20"/>
              </w:rPr>
              <w:t>)</w:t>
            </w:r>
            <w:r w:rsidR="00FD419D" w:rsidRPr="00FD419D">
              <w:rPr>
                <w:rFonts w:ascii="Century Schoolbook" w:hAnsi="Century Schoolbook"/>
                <w:bCs/>
                <w:sz w:val="20"/>
                <w:szCs w:val="20"/>
              </w:rPr>
              <w:t xml:space="preserve"> annually</w:t>
            </w:r>
            <w:r w:rsidR="007F558A">
              <w:rPr>
                <w:rFonts w:ascii="Century Schoolbook" w:hAnsi="Century Schoolbook"/>
                <w:bCs/>
                <w:sz w:val="20"/>
                <w:szCs w:val="20"/>
              </w:rPr>
              <w:t>,</w:t>
            </w:r>
            <w:r w:rsidR="00FD419D">
              <w:rPr>
                <w:rFonts w:ascii="Century Schoolbook" w:hAnsi="Century Schoolbook"/>
                <w:bCs/>
                <w:sz w:val="20"/>
                <w:szCs w:val="20"/>
              </w:rPr>
              <w:t xml:space="preserve"> and potentially to the Northwest Power and Conservation Council</w:t>
            </w:r>
            <w:r w:rsidR="007F558A">
              <w:rPr>
                <w:rFonts w:ascii="Century Schoolbook" w:hAnsi="Century Schoolbook"/>
                <w:bCs/>
                <w:sz w:val="20"/>
                <w:szCs w:val="20"/>
              </w:rPr>
              <w:t xml:space="preserve"> (Council)</w:t>
            </w:r>
            <w:r w:rsidR="00FD419D" w:rsidRPr="00FD419D">
              <w:rPr>
                <w:rFonts w:ascii="Century Schoolbook" w:hAnsi="Century Schoolbook"/>
                <w:bCs/>
                <w:sz w:val="20"/>
                <w:szCs w:val="20"/>
              </w:rPr>
              <w:t xml:space="preserve"> in order to facilitate PNUCC’s region-wide assessment of loads and resources.</w:t>
            </w:r>
          </w:p>
        </w:tc>
        <w:tc>
          <w:tcPr>
            <w:tcW w:w="5310" w:type="dxa"/>
          </w:tcPr>
          <w:p w14:paraId="472A9D81" w14:textId="127AAE83" w:rsidR="00C5113D" w:rsidRPr="000F0FBC" w:rsidRDefault="00FD419D" w:rsidP="00000B4D">
            <w:pPr>
              <w:rPr>
                <w:rFonts w:ascii="Century Schoolbook" w:hAnsi="Century Schoolbook"/>
                <w:sz w:val="20"/>
                <w:szCs w:val="20"/>
              </w:rPr>
            </w:pPr>
            <w:r w:rsidRPr="00FD419D">
              <w:rPr>
                <w:rFonts w:ascii="Century Schoolbook" w:hAnsi="Century Schoolbook"/>
                <w:bCs/>
                <w:sz w:val="20"/>
                <w:szCs w:val="20"/>
              </w:rPr>
              <w:t xml:space="preserve">Since joining WRAP, resource adequacy will have different significance during POC than it did during RD.  BPA is </w:t>
            </w:r>
            <w:r w:rsidR="00765778">
              <w:rPr>
                <w:rFonts w:ascii="Century Schoolbook" w:hAnsi="Century Schoolbook"/>
                <w:bCs/>
                <w:sz w:val="20"/>
                <w:szCs w:val="20"/>
              </w:rPr>
              <w:t>moving</w:t>
            </w:r>
            <w:r w:rsidRPr="00FD419D">
              <w:rPr>
                <w:rFonts w:ascii="Century Schoolbook" w:hAnsi="Century Schoolbook"/>
                <w:bCs/>
                <w:sz w:val="20"/>
                <w:szCs w:val="20"/>
              </w:rPr>
              <w:t xml:space="preserve"> RD section 1</w:t>
            </w:r>
            <w:r w:rsidR="00765778">
              <w:rPr>
                <w:rFonts w:ascii="Century Schoolbook" w:hAnsi="Century Schoolbook"/>
                <w:bCs/>
                <w:sz w:val="20"/>
                <w:szCs w:val="20"/>
              </w:rPr>
              <w:t>9</w:t>
            </w:r>
            <w:r w:rsidRPr="00FD419D">
              <w:rPr>
                <w:rFonts w:ascii="Century Schoolbook" w:hAnsi="Century Schoolbook"/>
                <w:bCs/>
                <w:sz w:val="20"/>
                <w:szCs w:val="20"/>
              </w:rPr>
              <w:t xml:space="preserve"> Resource Adequacy provisions into the </w:t>
            </w:r>
            <w:r>
              <w:rPr>
                <w:rFonts w:ascii="Century Schoolbook" w:hAnsi="Century Schoolbook"/>
                <w:bCs/>
                <w:sz w:val="20"/>
                <w:szCs w:val="20"/>
              </w:rPr>
              <w:t xml:space="preserve">POC </w:t>
            </w:r>
            <w:r w:rsidRPr="00FD419D">
              <w:rPr>
                <w:rFonts w:ascii="Century Schoolbook" w:hAnsi="Century Schoolbook"/>
                <w:bCs/>
                <w:sz w:val="20"/>
                <w:szCs w:val="20"/>
              </w:rPr>
              <w:t>Information Exchange and Confidentiality as a new section 17.2.3.  The POC contract will include language stating that a customer may require PNUCC or Council to execute a non-disclosure prior to providing th</w:t>
            </w:r>
            <w:r w:rsidR="007F558A">
              <w:rPr>
                <w:rFonts w:ascii="Century Schoolbook" w:hAnsi="Century Schoolbook"/>
                <w:bCs/>
                <w:sz w:val="20"/>
                <w:szCs w:val="20"/>
              </w:rPr>
              <w:t>ose third parties</w:t>
            </w:r>
            <w:r w:rsidRPr="00FD419D">
              <w:rPr>
                <w:rFonts w:ascii="Century Schoolbook" w:hAnsi="Century Schoolbook"/>
                <w:bCs/>
                <w:sz w:val="20"/>
                <w:szCs w:val="20"/>
              </w:rPr>
              <w:t xml:space="preserve"> with </w:t>
            </w:r>
            <w:r w:rsidR="007F558A">
              <w:rPr>
                <w:rFonts w:ascii="Century Schoolbook" w:hAnsi="Century Schoolbook"/>
                <w:bCs/>
                <w:sz w:val="20"/>
                <w:szCs w:val="20"/>
              </w:rPr>
              <w:t>t</w:t>
            </w:r>
            <w:r w:rsidRPr="00FD419D">
              <w:rPr>
                <w:rFonts w:ascii="Century Schoolbook" w:hAnsi="Century Schoolbook"/>
                <w:bCs/>
                <w:sz w:val="20"/>
                <w:szCs w:val="20"/>
              </w:rPr>
              <w:t>he requested load and resource data</w:t>
            </w:r>
            <w:r w:rsidR="00EF038D">
              <w:rPr>
                <w:rFonts w:ascii="Century Schoolbook" w:hAnsi="Century Schoolbook"/>
                <w:bCs/>
                <w:sz w:val="20"/>
                <w:szCs w:val="20"/>
              </w:rPr>
              <w:t xml:space="preserve">; additionally, the POC contract </w:t>
            </w:r>
            <w:r w:rsidR="0068170F">
              <w:rPr>
                <w:rFonts w:ascii="Century Schoolbook" w:hAnsi="Century Schoolbook"/>
                <w:bCs/>
                <w:sz w:val="20"/>
                <w:szCs w:val="20"/>
              </w:rPr>
              <w:t>is adding that</w:t>
            </w:r>
            <w:r w:rsidR="00EF038D">
              <w:rPr>
                <w:rFonts w:ascii="Century Schoolbook" w:hAnsi="Century Schoolbook"/>
                <w:bCs/>
                <w:sz w:val="20"/>
                <w:szCs w:val="20"/>
              </w:rPr>
              <w:t xml:space="preserve"> </w:t>
            </w:r>
            <w:r w:rsidR="0068170F">
              <w:rPr>
                <w:rFonts w:ascii="Century Schoolbook" w:hAnsi="Century Schoolbook"/>
                <w:bCs/>
                <w:sz w:val="20"/>
                <w:szCs w:val="20"/>
              </w:rPr>
              <w:t>no customer will be required to submit unaggregated load forecast data to PNUCC or Council</w:t>
            </w:r>
            <w:r w:rsidRPr="00FD419D">
              <w:rPr>
                <w:rFonts w:ascii="Century Schoolbook" w:hAnsi="Century Schoolbook"/>
                <w:bCs/>
                <w:sz w:val="20"/>
                <w:szCs w:val="20"/>
              </w:rPr>
              <w:t>.</w:t>
            </w:r>
          </w:p>
        </w:tc>
      </w:tr>
      <w:tr w:rsidR="00FD419D" w:rsidRPr="000F0FBC" w14:paraId="5A65BF13" w14:textId="77777777" w:rsidTr="00801E11">
        <w:trPr>
          <w:cantSplit/>
        </w:trPr>
        <w:tc>
          <w:tcPr>
            <w:tcW w:w="1800" w:type="dxa"/>
          </w:tcPr>
          <w:p w14:paraId="428F652E" w14:textId="04D08C7C"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lastRenderedPageBreak/>
              <w:t>20. Notices and Contact Information</w:t>
            </w:r>
          </w:p>
        </w:tc>
        <w:tc>
          <w:tcPr>
            <w:tcW w:w="1800" w:type="dxa"/>
          </w:tcPr>
          <w:p w14:paraId="12297D6A" w14:textId="37BE9A01" w:rsidR="00C5113D" w:rsidRPr="00507DE2" w:rsidRDefault="00BF69AB" w:rsidP="00000B4D">
            <w:pPr>
              <w:rPr>
                <w:rFonts w:ascii="Century Schoolbook" w:hAnsi="Century Schoolbook"/>
                <w:bCs/>
                <w:sz w:val="20"/>
                <w:szCs w:val="20"/>
              </w:rPr>
            </w:pPr>
            <w:r>
              <w:rPr>
                <w:rFonts w:ascii="Century Schoolbook" w:hAnsi="Century Schoolbook"/>
                <w:sz w:val="20"/>
                <w:szCs w:val="20"/>
              </w:rPr>
              <w:t>Exhibit I, Notices and Contact Information</w:t>
            </w:r>
          </w:p>
        </w:tc>
        <w:tc>
          <w:tcPr>
            <w:tcW w:w="5760" w:type="dxa"/>
          </w:tcPr>
          <w:p w14:paraId="5CBD0DF8" w14:textId="41A1B6B8" w:rsidR="00C5113D" w:rsidRPr="00507DE2" w:rsidRDefault="007754C4" w:rsidP="00000B4D">
            <w:pPr>
              <w:rPr>
                <w:rFonts w:ascii="Century Schoolbook" w:hAnsi="Century Schoolbook"/>
                <w:bCs/>
                <w:sz w:val="20"/>
                <w:szCs w:val="20"/>
              </w:rPr>
            </w:pPr>
            <w:r w:rsidRPr="00507DE2">
              <w:rPr>
                <w:rFonts w:ascii="Century Schoolbook" w:hAnsi="Century Schoolbook"/>
                <w:bCs/>
                <w:sz w:val="20"/>
                <w:szCs w:val="20"/>
              </w:rPr>
              <w:t xml:space="preserve">Most information that is sent between BPA and the customer does not need proof that the information was received.  This provision </w:t>
            </w:r>
            <w:r w:rsidR="00765778">
              <w:rPr>
                <w:rFonts w:ascii="Century Schoolbook" w:hAnsi="Century Schoolbook"/>
                <w:bCs/>
                <w:sz w:val="20"/>
                <w:szCs w:val="20"/>
              </w:rPr>
              <w:t>provide</w:t>
            </w:r>
            <w:r w:rsidR="00926CEC">
              <w:rPr>
                <w:rFonts w:ascii="Century Schoolbook" w:hAnsi="Century Schoolbook"/>
                <w:bCs/>
                <w:sz w:val="20"/>
                <w:szCs w:val="20"/>
              </w:rPr>
              <w:t>s</w:t>
            </w:r>
            <w:r w:rsidRPr="00507DE2">
              <w:rPr>
                <w:rFonts w:ascii="Century Schoolbook" w:hAnsi="Century Schoolbook"/>
                <w:bCs/>
                <w:sz w:val="20"/>
                <w:szCs w:val="20"/>
              </w:rPr>
              <w:t xml:space="preserve"> for the few circumstances where obtaining proof of receipt </w:t>
            </w:r>
            <w:r w:rsidR="00646597">
              <w:rPr>
                <w:rFonts w:ascii="Century Schoolbook" w:hAnsi="Century Schoolbook"/>
                <w:bCs/>
                <w:sz w:val="20"/>
                <w:szCs w:val="20"/>
              </w:rPr>
              <w:t>i</w:t>
            </w:r>
            <w:r w:rsidR="00E1121A">
              <w:rPr>
                <w:rFonts w:ascii="Century Schoolbook" w:hAnsi="Century Schoolbook"/>
                <w:bCs/>
                <w:sz w:val="20"/>
                <w:szCs w:val="20"/>
              </w:rPr>
              <w:t>s</w:t>
            </w:r>
            <w:r w:rsidR="00E1121A" w:rsidRPr="00507DE2">
              <w:rPr>
                <w:rFonts w:ascii="Century Schoolbook" w:hAnsi="Century Schoolbook"/>
                <w:bCs/>
                <w:sz w:val="20"/>
                <w:szCs w:val="20"/>
              </w:rPr>
              <w:t xml:space="preserve"> </w:t>
            </w:r>
            <w:r w:rsidRPr="00507DE2">
              <w:rPr>
                <w:rFonts w:ascii="Century Schoolbook" w:hAnsi="Century Schoolbook"/>
                <w:bCs/>
                <w:sz w:val="20"/>
                <w:szCs w:val="20"/>
              </w:rPr>
              <w:t>a requirement of the contract</w:t>
            </w:r>
            <w:r w:rsidR="00507DE2" w:rsidRPr="00507DE2">
              <w:rPr>
                <w:rFonts w:ascii="Century Schoolbook" w:hAnsi="Century Schoolbook"/>
                <w:bCs/>
                <w:sz w:val="20"/>
                <w:szCs w:val="20"/>
              </w:rPr>
              <w:t>.  The section also include</w:t>
            </w:r>
            <w:r w:rsidR="00646597">
              <w:rPr>
                <w:rFonts w:ascii="Century Schoolbook" w:hAnsi="Century Schoolbook"/>
                <w:bCs/>
                <w:sz w:val="20"/>
                <w:szCs w:val="20"/>
              </w:rPr>
              <w:t>s</w:t>
            </w:r>
            <w:r w:rsidR="00507DE2" w:rsidRPr="00507DE2">
              <w:rPr>
                <w:rFonts w:ascii="Century Schoolbook" w:hAnsi="Century Schoolbook"/>
                <w:bCs/>
                <w:sz w:val="20"/>
                <w:szCs w:val="20"/>
              </w:rPr>
              <w:t xml:space="preserve"> the contact information for each party’s primary point of contact.</w:t>
            </w:r>
          </w:p>
        </w:tc>
        <w:tc>
          <w:tcPr>
            <w:tcW w:w="5310" w:type="dxa"/>
          </w:tcPr>
          <w:p w14:paraId="5BCDC15A" w14:textId="369954A1" w:rsidR="00C5113D" w:rsidRPr="00753CC9" w:rsidRDefault="00AB2C3F" w:rsidP="00000B4D">
            <w:pPr>
              <w:rPr>
                <w:rFonts w:ascii="Century Schoolbook" w:hAnsi="Century Schoolbook"/>
                <w:sz w:val="20"/>
                <w:szCs w:val="20"/>
                <w:highlight w:val="yellow"/>
              </w:rPr>
            </w:pPr>
            <w:r w:rsidRPr="00753CC9">
              <w:rPr>
                <w:rFonts w:ascii="Century Schoolbook" w:hAnsi="Century Schoolbook"/>
                <w:sz w:val="20"/>
                <w:szCs w:val="20"/>
              </w:rPr>
              <w:t xml:space="preserve">See POC </w:t>
            </w:r>
            <w:r w:rsidRPr="00BB081F">
              <w:rPr>
                <w:rFonts w:ascii="Century Schoolbook" w:hAnsi="Century Schoolbook"/>
                <w:sz w:val="20"/>
                <w:szCs w:val="20"/>
              </w:rPr>
              <w:t>Exhibit I</w:t>
            </w:r>
            <w:r w:rsidR="00BB081F">
              <w:rPr>
                <w:rFonts w:ascii="Century Schoolbook" w:hAnsi="Century Schoolbook"/>
                <w:sz w:val="20"/>
                <w:szCs w:val="20"/>
              </w:rPr>
              <w:t xml:space="preserve"> d</w:t>
            </w:r>
            <w:r w:rsidRPr="00BB081F">
              <w:rPr>
                <w:rFonts w:ascii="Century Schoolbook" w:hAnsi="Century Schoolbook"/>
                <w:sz w:val="20"/>
                <w:szCs w:val="20"/>
              </w:rPr>
              <w:t>escription below.</w:t>
            </w:r>
          </w:p>
        </w:tc>
      </w:tr>
      <w:tr w:rsidR="00FD419D" w:rsidRPr="000F0FBC" w14:paraId="76E78D5C" w14:textId="77777777" w:rsidTr="00801E11">
        <w:trPr>
          <w:cantSplit/>
          <w:trHeight w:val="242"/>
        </w:trPr>
        <w:tc>
          <w:tcPr>
            <w:tcW w:w="1800" w:type="dxa"/>
          </w:tcPr>
          <w:p w14:paraId="5A7D3B27" w14:textId="3D3F58EA" w:rsidR="00C5113D" w:rsidRPr="000F0FBC" w:rsidRDefault="00C5113D" w:rsidP="00000B4D">
            <w:pPr>
              <w:rPr>
                <w:rFonts w:ascii="Century Schoolbook" w:hAnsi="Century Schoolbook"/>
                <w:sz w:val="20"/>
                <w:szCs w:val="20"/>
              </w:rPr>
            </w:pPr>
            <w:r w:rsidRPr="000F0FBC">
              <w:rPr>
                <w:rFonts w:ascii="Century Schoolbook" w:hAnsi="Century Schoolbook"/>
                <w:sz w:val="20"/>
                <w:szCs w:val="20"/>
              </w:rPr>
              <w:t>21. Uncontrollable Forces</w:t>
            </w:r>
          </w:p>
        </w:tc>
        <w:tc>
          <w:tcPr>
            <w:tcW w:w="1800" w:type="dxa"/>
          </w:tcPr>
          <w:p w14:paraId="11531F5D" w14:textId="4242D5E2" w:rsidR="00C5113D" w:rsidRPr="000F0FBC" w:rsidRDefault="00A67629" w:rsidP="00000B4D">
            <w:pPr>
              <w:rPr>
                <w:rFonts w:ascii="Century Schoolbook" w:hAnsi="Century Schoolbook"/>
                <w:sz w:val="20"/>
                <w:szCs w:val="20"/>
              </w:rPr>
            </w:pPr>
            <w:r>
              <w:rPr>
                <w:rFonts w:ascii="Century Schoolbook" w:hAnsi="Century Schoolbook"/>
                <w:sz w:val="20"/>
                <w:szCs w:val="20"/>
              </w:rPr>
              <w:t xml:space="preserve">18. </w:t>
            </w:r>
            <w:r w:rsidRPr="000F0FBC">
              <w:rPr>
                <w:rFonts w:ascii="Century Schoolbook" w:hAnsi="Century Schoolbook"/>
                <w:sz w:val="20"/>
                <w:szCs w:val="20"/>
              </w:rPr>
              <w:t>Uncontrollable Forces</w:t>
            </w:r>
          </w:p>
        </w:tc>
        <w:tc>
          <w:tcPr>
            <w:tcW w:w="5760" w:type="dxa"/>
          </w:tcPr>
          <w:p w14:paraId="3CE6DE3E" w14:textId="0785964F" w:rsidR="00C5113D" w:rsidRPr="000F0FBC" w:rsidRDefault="00B707BA" w:rsidP="00000B4D">
            <w:pPr>
              <w:rPr>
                <w:rFonts w:ascii="Century Schoolbook" w:hAnsi="Century Schoolbook"/>
                <w:sz w:val="20"/>
                <w:szCs w:val="20"/>
              </w:rPr>
            </w:pPr>
            <w:r>
              <w:rPr>
                <w:rFonts w:ascii="Century Schoolbook" w:hAnsi="Century Schoolbook"/>
                <w:sz w:val="20"/>
                <w:szCs w:val="20"/>
              </w:rPr>
              <w:t>Includes a</w:t>
            </w:r>
            <w:r w:rsidR="00646597">
              <w:rPr>
                <w:rFonts w:ascii="Century Schoolbook" w:hAnsi="Century Schoolbook"/>
                <w:sz w:val="20"/>
                <w:szCs w:val="20"/>
              </w:rPr>
              <w:t xml:space="preserve"> definition</w:t>
            </w:r>
            <w:r>
              <w:rPr>
                <w:rFonts w:ascii="Century Schoolbook" w:hAnsi="Century Schoolbook"/>
                <w:sz w:val="20"/>
                <w:szCs w:val="20"/>
              </w:rPr>
              <w:t xml:space="preserve"> of uncontrollable force</w:t>
            </w:r>
            <w:r w:rsidR="00646597">
              <w:rPr>
                <w:rFonts w:ascii="Century Schoolbook" w:hAnsi="Century Schoolbook"/>
                <w:sz w:val="20"/>
                <w:szCs w:val="20"/>
              </w:rPr>
              <w:t xml:space="preserve"> and includes</w:t>
            </w:r>
            <w:r w:rsidR="009475AF">
              <w:rPr>
                <w:rFonts w:ascii="Century Schoolbook" w:hAnsi="Century Schoolbook"/>
                <w:sz w:val="20"/>
                <w:szCs w:val="20"/>
              </w:rPr>
              <w:t xml:space="preserve"> examples of events that would and would no</w:t>
            </w:r>
            <w:r w:rsidR="00BD78B2">
              <w:rPr>
                <w:rFonts w:ascii="Century Schoolbook" w:hAnsi="Century Schoolbook"/>
                <w:sz w:val="20"/>
                <w:szCs w:val="20"/>
              </w:rPr>
              <w:t>t</w:t>
            </w:r>
            <w:r w:rsidR="009475AF">
              <w:rPr>
                <w:rFonts w:ascii="Century Schoolbook" w:hAnsi="Century Schoolbook"/>
                <w:sz w:val="20"/>
                <w:szCs w:val="20"/>
              </w:rPr>
              <w:t xml:space="preserve"> constitute an uncontrollable force</w:t>
            </w:r>
            <w:r w:rsidR="00172328">
              <w:rPr>
                <w:rFonts w:ascii="Century Schoolbook" w:hAnsi="Century Schoolbook"/>
                <w:sz w:val="20"/>
                <w:szCs w:val="20"/>
              </w:rPr>
              <w:t xml:space="preserve">. </w:t>
            </w:r>
            <w:r w:rsidR="009475AF">
              <w:rPr>
                <w:rFonts w:ascii="Century Schoolbook" w:hAnsi="Century Schoolbook"/>
                <w:sz w:val="20"/>
                <w:szCs w:val="20"/>
              </w:rPr>
              <w:t xml:space="preserve"> </w:t>
            </w:r>
            <w:r w:rsidR="00172328">
              <w:rPr>
                <w:rFonts w:ascii="Century Schoolbook" w:hAnsi="Century Schoolbook"/>
                <w:sz w:val="20"/>
                <w:szCs w:val="20"/>
              </w:rPr>
              <w:t>E</w:t>
            </w:r>
            <w:r w:rsidR="00BD78B2">
              <w:rPr>
                <w:rFonts w:ascii="Century Schoolbook" w:hAnsi="Century Schoolbook"/>
                <w:sz w:val="20"/>
                <w:szCs w:val="20"/>
              </w:rPr>
              <w:t>stablishe</w:t>
            </w:r>
            <w:r w:rsidR="00646597">
              <w:rPr>
                <w:rFonts w:ascii="Century Schoolbook" w:hAnsi="Century Schoolbook"/>
                <w:sz w:val="20"/>
                <w:szCs w:val="20"/>
              </w:rPr>
              <w:t>s</w:t>
            </w:r>
            <w:r w:rsidR="00BD78B2">
              <w:rPr>
                <w:rFonts w:ascii="Century Schoolbook" w:hAnsi="Century Schoolbook"/>
                <w:sz w:val="20"/>
                <w:szCs w:val="20"/>
              </w:rPr>
              <w:t xml:space="preserve"> the obligations on both </w:t>
            </w:r>
            <w:r w:rsidR="00CE3A20">
              <w:rPr>
                <w:rFonts w:ascii="Century Schoolbook" w:hAnsi="Century Schoolbook"/>
                <w:sz w:val="20"/>
                <w:szCs w:val="20"/>
              </w:rPr>
              <w:t>p</w:t>
            </w:r>
            <w:r w:rsidR="00BD78B2">
              <w:rPr>
                <w:rFonts w:ascii="Century Schoolbook" w:hAnsi="Century Schoolbook"/>
                <w:sz w:val="20"/>
                <w:szCs w:val="20"/>
              </w:rPr>
              <w:t>arties if they experience an uncontrollable force.</w:t>
            </w:r>
          </w:p>
        </w:tc>
        <w:tc>
          <w:tcPr>
            <w:tcW w:w="5310" w:type="dxa"/>
          </w:tcPr>
          <w:p w14:paraId="7FE8D7D9" w14:textId="6F173593" w:rsidR="00C5113D" w:rsidRPr="000F0FBC" w:rsidRDefault="0038593D" w:rsidP="00000B4D">
            <w:pPr>
              <w:rPr>
                <w:rFonts w:ascii="Century Schoolbook" w:hAnsi="Century Schoolbook"/>
                <w:sz w:val="20"/>
                <w:szCs w:val="20"/>
              </w:rPr>
            </w:pPr>
            <w:r>
              <w:rPr>
                <w:rFonts w:ascii="Century Schoolbook" w:hAnsi="Century Schoolbook"/>
                <w:sz w:val="20"/>
                <w:szCs w:val="20"/>
              </w:rPr>
              <w:t xml:space="preserve">Epidemics, pandemics and terrorist acts are being added to the list of examples of an uncontrollable force.  </w:t>
            </w:r>
            <w:r w:rsidR="00765778">
              <w:rPr>
                <w:rFonts w:ascii="Century Schoolbook" w:hAnsi="Century Schoolbook"/>
                <w:sz w:val="20"/>
                <w:szCs w:val="20"/>
              </w:rPr>
              <w:t>T</w:t>
            </w:r>
            <w:r>
              <w:rPr>
                <w:rFonts w:ascii="Century Schoolbook" w:hAnsi="Century Schoolbook"/>
                <w:sz w:val="20"/>
                <w:szCs w:val="20"/>
              </w:rPr>
              <w:t>he requirement to notify the other party “immediately” of an uncontrollable force</w:t>
            </w:r>
            <w:r w:rsidR="00765778">
              <w:rPr>
                <w:rFonts w:ascii="Century Schoolbook" w:hAnsi="Century Schoolbook"/>
                <w:sz w:val="20"/>
                <w:szCs w:val="20"/>
              </w:rPr>
              <w:t xml:space="preserve"> was adjusted to a requirement that </w:t>
            </w:r>
            <w:r w:rsidR="00E35A21">
              <w:rPr>
                <w:rFonts w:ascii="Century Schoolbook" w:hAnsi="Century Schoolbook"/>
                <w:sz w:val="20"/>
                <w:szCs w:val="20"/>
              </w:rPr>
              <w:t xml:space="preserve">one party </w:t>
            </w:r>
            <w:r>
              <w:rPr>
                <w:rFonts w:ascii="Century Schoolbook" w:hAnsi="Century Schoolbook"/>
                <w:sz w:val="20"/>
                <w:szCs w:val="20"/>
              </w:rPr>
              <w:t>“promptly” notify the other party</w:t>
            </w:r>
            <w:r w:rsidR="00E35A21">
              <w:rPr>
                <w:rFonts w:ascii="Century Schoolbook" w:hAnsi="Century Schoolbook"/>
                <w:sz w:val="20"/>
                <w:szCs w:val="20"/>
              </w:rPr>
              <w:t xml:space="preserve"> of an uncontrollable force</w:t>
            </w:r>
            <w:r>
              <w:rPr>
                <w:rFonts w:ascii="Century Schoolbook" w:hAnsi="Century Schoolbook"/>
                <w:sz w:val="20"/>
                <w:szCs w:val="20"/>
              </w:rPr>
              <w:t>.</w:t>
            </w:r>
          </w:p>
        </w:tc>
      </w:tr>
      <w:tr w:rsidR="00FD419D" w:rsidRPr="000F0FBC" w14:paraId="3BC0E209" w14:textId="77777777" w:rsidTr="00801E11">
        <w:trPr>
          <w:cantSplit/>
        </w:trPr>
        <w:tc>
          <w:tcPr>
            <w:tcW w:w="1800" w:type="dxa"/>
          </w:tcPr>
          <w:p w14:paraId="48E91DF9" w14:textId="031B1DEA" w:rsidR="00C5113D" w:rsidRPr="000F0FBC" w:rsidRDefault="00C5113D" w:rsidP="00000B4D">
            <w:pPr>
              <w:rPr>
                <w:rFonts w:ascii="Century Schoolbook" w:hAnsi="Century Schoolbook"/>
                <w:sz w:val="20"/>
                <w:szCs w:val="20"/>
              </w:rPr>
            </w:pPr>
            <w:r>
              <w:rPr>
                <w:rFonts w:ascii="Century Schoolbook" w:hAnsi="Century Schoolbook"/>
                <w:sz w:val="20"/>
                <w:szCs w:val="20"/>
              </w:rPr>
              <w:t>22. Governing Law and Dispute Resolution</w:t>
            </w:r>
          </w:p>
        </w:tc>
        <w:tc>
          <w:tcPr>
            <w:tcW w:w="1800" w:type="dxa"/>
          </w:tcPr>
          <w:p w14:paraId="322FAFB3" w14:textId="0900E9EF" w:rsidR="00C5113D" w:rsidRPr="000F0FBC" w:rsidRDefault="00A67629" w:rsidP="00000B4D">
            <w:pPr>
              <w:rPr>
                <w:rFonts w:ascii="Century Schoolbook" w:hAnsi="Century Schoolbook"/>
                <w:sz w:val="20"/>
                <w:szCs w:val="20"/>
              </w:rPr>
            </w:pPr>
            <w:r>
              <w:rPr>
                <w:rFonts w:ascii="Century Schoolbook" w:hAnsi="Century Schoolbook"/>
                <w:sz w:val="20"/>
                <w:szCs w:val="20"/>
              </w:rPr>
              <w:t>19. Governing Law and Dispute Resolution</w:t>
            </w:r>
          </w:p>
        </w:tc>
        <w:tc>
          <w:tcPr>
            <w:tcW w:w="5760" w:type="dxa"/>
          </w:tcPr>
          <w:p w14:paraId="6A74427D" w14:textId="4890EDEF" w:rsidR="00C5113D" w:rsidRPr="000F0FBC" w:rsidRDefault="0053228D" w:rsidP="00000B4D">
            <w:pPr>
              <w:rPr>
                <w:rFonts w:ascii="Century Schoolbook" w:hAnsi="Century Schoolbook"/>
                <w:sz w:val="20"/>
                <w:szCs w:val="20"/>
              </w:rPr>
            </w:pPr>
            <w:r>
              <w:rPr>
                <w:rFonts w:ascii="Century Schoolbook" w:hAnsi="Century Schoolbook"/>
                <w:sz w:val="20"/>
                <w:szCs w:val="20"/>
              </w:rPr>
              <w:t>Establishe</w:t>
            </w:r>
            <w:r w:rsidR="00646597">
              <w:rPr>
                <w:rFonts w:ascii="Century Schoolbook" w:hAnsi="Century Schoolbook"/>
                <w:sz w:val="20"/>
                <w:szCs w:val="20"/>
              </w:rPr>
              <w:t>s</w:t>
            </w:r>
            <w:r w:rsidRPr="0053228D">
              <w:rPr>
                <w:rFonts w:ascii="Century Schoolbook" w:hAnsi="Century Schoolbook"/>
                <w:sz w:val="20"/>
                <w:szCs w:val="20"/>
              </w:rPr>
              <w:t xml:space="preserve"> t</w:t>
            </w:r>
            <w:r w:rsidR="00646597">
              <w:rPr>
                <w:rFonts w:ascii="Century Schoolbook" w:hAnsi="Century Schoolbook"/>
                <w:sz w:val="20"/>
                <w:szCs w:val="20"/>
              </w:rPr>
              <w:t>he</w:t>
            </w:r>
            <w:r w:rsidRPr="0053228D">
              <w:rPr>
                <w:rFonts w:ascii="Century Schoolbook" w:hAnsi="Century Schoolbook"/>
                <w:sz w:val="20"/>
                <w:szCs w:val="20"/>
              </w:rPr>
              <w:t xml:space="preserve"> mechanisms for resolving disputes that ar</w:t>
            </w:r>
            <w:r w:rsidR="00646597">
              <w:rPr>
                <w:rFonts w:ascii="Century Schoolbook" w:hAnsi="Century Schoolbook"/>
                <w:sz w:val="20"/>
                <w:szCs w:val="20"/>
              </w:rPr>
              <w:t>i</w:t>
            </w:r>
            <w:r w:rsidRPr="0053228D">
              <w:rPr>
                <w:rFonts w:ascii="Century Schoolbook" w:hAnsi="Century Schoolbook"/>
                <w:sz w:val="20"/>
                <w:szCs w:val="20"/>
              </w:rPr>
              <w:t>se under the contract and state</w:t>
            </w:r>
            <w:r w:rsidR="00C14C64">
              <w:rPr>
                <w:rFonts w:ascii="Century Schoolbook" w:hAnsi="Century Schoolbook"/>
                <w:sz w:val="20"/>
                <w:szCs w:val="20"/>
              </w:rPr>
              <w:t>s</w:t>
            </w:r>
            <w:r w:rsidRPr="0053228D">
              <w:rPr>
                <w:rFonts w:ascii="Century Schoolbook" w:hAnsi="Century Schoolbook"/>
                <w:sz w:val="20"/>
                <w:szCs w:val="20"/>
              </w:rPr>
              <w:t xml:space="preserve"> that the contract is governed by federal law.  If a dispute a</w:t>
            </w:r>
            <w:r>
              <w:rPr>
                <w:rFonts w:ascii="Century Schoolbook" w:hAnsi="Century Schoolbook"/>
                <w:sz w:val="20"/>
                <w:szCs w:val="20"/>
              </w:rPr>
              <w:t>r</w:t>
            </w:r>
            <w:r w:rsidR="00C14C64">
              <w:rPr>
                <w:rFonts w:ascii="Century Schoolbook" w:hAnsi="Century Schoolbook"/>
                <w:sz w:val="20"/>
                <w:szCs w:val="20"/>
              </w:rPr>
              <w:t>i</w:t>
            </w:r>
            <w:r>
              <w:rPr>
                <w:rFonts w:ascii="Century Schoolbook" w:hAnsi="Century Schoolbook"/>
                <w:sz w:val="20"/>
                <w:szCs w:val="20"/>
              </w:rPr>
              <w:t>se</w:t>
            </w:r>
            <w:r w:rsidR="00C14C64">
              <w:rPr>
                <w:rFonts w:ascii="Century Schoolbook" w:hAnsi="Century Schoolbook"/>
                <w:sz w:val="20"/>
                <w:szCs w:val="20"/>
              </w:rPr>
              <w:t>s</w:t>
            </w:r>
            <w:r w:rsidRPr="0053228D">
              <w:rPr>
                <w:rFonts w:ascii="Century Schoolbook" w:hAnsi="Century Schoolbook"/>
                <w:sz w:val="20"/>
                <w:szCs w:val="20"/>
              </w:rPr>
              <w:t xml:space="preserve">, parties </w:t>
            </w:r>
            <w:r w:rsidR="00C14C64">
              <w:rPr>
                <w:rFonts w:ascii="Century Schoolbook" w:hAnsi="Century Schoolbook"/>
                <w:sz w:val="20"/>
                <w:szCs w:val="20"/>
              </w:rPr>
              <w:t>a</w:t>
            </w:r>
            <w:r>
              <w:rPr>
                <w:rFonts w:ascii="Century Schoolbook" w:hAnsi="Century Schoolbook"/>
                <w:sz w:val="20"/>
                <w:szCs w:val="20"/>
              </w:rPr>
              <w:t>re required to</w:t>
            </w:r>
            <w:r w:rsidRPr="0053228D">
              <w:rPr>
                <w:rFonts w:ascii="Century Schoolbook" w:hAnsi="Century Schoolbook"/>
                <w:sz w:val="20"/>
                <w:szCs w:val="20"/>
              </w:rPr>
              <w:t xml:space="preserve"> make a good faith effort to resolve the dispute informally before initiating litigation or arbitration.  Parties must continue operation of the contract while a dispute is pending.</w:t>
            </w:r>
          </w:p>
        </w:tc>
        <w:tc>
          <w:tcPr>
            <w:tcW w:w="5310" w:type="dxa"/>
          </w:tcPr>
          <w:p w14:paraId="092794CC" w14:textId="4D02CF7B" w:rsidR="00C5113D" w:rsidRPr="000F0FBC" w:rsidRDefault="0053228D" w:rsidP="00000B4D">
            <w:pPr>
              <w:rPr>
                <w:rFonts w:ascii="Century Schoolbook" w:hAnsi="Century Schoolbook"/>
                <w:sz w:val="20"/>
                <w:szCs w:val="20"/>
              </w:rPr>
            </w:pPr>
            <w:r>
              <w:rPr>
                <w:rFonts w:ascii="Century Schoolbook" w:hAnsi="Century Schoolbook"/>
                <w:sz w:val="20"/>
                <w:szCs w:val="20"/>
              </w:rPr>
              <w:t>No change</w:t>
            </w:r>
            <w:r w:rsidR="00765778">
              <w:rPr>
                <w:rFonts w:ascii="Century Schoolbook" w:hAnsi="Century Schoolbook"/>
                <w:sz w:val="20"/>
                <w:szCs w:val="20"/>
              </w:rPr>
              <w:t>s</w:t>
            </w:r>
            <w:r>
              <w:rPr>
                <w:rFonts w:ascii="Century Schoolbook" w:hAnsi="Century Schoolbook"/>
                <w:sz w:val="20"/>
                <w:szCs w:val="20"/>
              </w:rPr>
              <w:t>.</w:t>
            </w:r>
          </w:p>
        </w:tc>
      </w:tr>
      <w:tr w:rsidR="002E56D9" w:rsidRPr="000F0FBC" w14:paraId="55850D75" w14:textId="77777777" w:rsidTr="00801E11">
        <w:trPr>
          <w:cantSplit/>
          <w:trHeight w:val="72"/>
        </w:trPr>
        <w:tc>
          <w:tcPr>
            <w:tcW w:w="1800" w:type="dxa"/>
            <w:vMerge w:val="restart"/>
          </w:tcPr>
          <w:p w14:paraId="3EF068F2" w14:textId="46700E19" w:rsidR="002E56D9" w:rsidRDefault="002E56D9" w:rsidP="00000B4D">
            <w:pPr>
              <w:rPr>
                <w:rFonts w:ascii="Century Schoolbook" w:hAnsi="Century Schoolbook"/>
                <w:sz w:val="20"/>
                <w:szCs w:val="20"/>
              </w:rPr>
            </w:pPr>
            <w:r>
              <w:rPr>
                <w:rFonts w:ascii="Century Schoolbook" w:hAnsi="Century Schoolbook"/>
                <w:sz w:val="20"/>
                <w:szCs w:val="20"/>
              </w:rPr>
              <w:t>23. Statutory Provisions</w:t>
            </w:r>
          </w:p>
        </w:tc>
        <w:tc>
          <w:tcPr>
            <w:tcW w:w="1800" w:type="dxa"/>
            <w:vMerge w:val="restart"/>
          </w:tcPr>
          <w:p w14:paraId="27F6D319" w14:textId="77D4C7B5" w:rsidR="002E56D9" w:rsidRPr="000F0FBC" w:rsidRDefault="002E56D9" w:rsidP="00000B4D">
            <w:pPr>
              <w:rPr>
                <w:rFonts w:ascii="Century Schoolbook" w:hAnsi="Century Schoolbook"/>
                <w:sz w:val="20"/>
                <w:szCs w:val="20"/>
              </w:rPr>
            </w:pPr>
            <w:r>
              <w:rPr>
                <w:rFonts w:ascii="Century Schoolbook" w:hAnsi="Century Schoolbook"/>
                <w:sz w:val="20"/>
                <w:szCs w:val="20"/>
              </w:rPr>
              <w:t>20. Statutory Provisions</w:t>
            </w:r>
          </w:p>
        </w:tc>
        <w:tc>
          <w:tcPr>
            <w:tcW w:w="5760" w:type="dxa"/>
          </w:tcPr>
          <w:p w14:paraId="430D2EFD" w14:textId="326196FC" w:rsidR="002E56D9" w:rsidRPr="000F0FBC" w:rsidRDefault="00E77DB4" w:rsidP="002E56D9">
            <w:pPr>
              <w:rPr>
                <w:rFonts w:ascii="Century Schoolbook" w:hAnsi="Century Schoolbook"/>
                <w:sz w:val="20"/>
                <w:szCs w:val="20"/>
              </w:rPr>
            </w:pPr>
            <w:r>
              <w:rPr>
                <w:rFonts w:ascii="Century Schoolbook" w:hAnsi="Century Schoolbook"/>
                <w:sz w:val="20"/>
                <w:szCs w:val="20"/>
              </w:rPr>
              <w:t xml:space="preserve">Section </w:t>
            </w:r>
            <w:r w:rsidR="002E56D9">
              <w:rPr>
                <w:rFonts w:ascii="Century Schoolbook" w:hAnsi="Century Schoolbook"/>
                <w:sz w:val="20"/>
                <w:szCs w:val="20"/>
              </w:rPr>
              <w:t xml:space="preserve">23.1, Retail Rate Schedules:  </w:t>
            </w:r>
            <w:r w:rsidR="002E56D9" w:rsidRPr="002E56D9">
              <w:rPr>
                <w:rFonts w:ascii="Century Schoolbook" w:hAnsi="Century Schoolbook"/>
                <w:sz w:val="20"/>
                <w:szCs w:val="20"/>
              </w:rPr>
              <w:t xml:space="preserve">The Bonneville Project Act requires that customers who purchase requirements power from BPA provide a copy of their retail rate schedules. </w:t>
            </w:r>
            <w:r w:rsidR="001F791C">
              <w:rPr>
                <w:rFonts w:ascii="Century Schoolbook" w:hAnsi="Century Schoolbook"/>
                <w:sz w:val="20"/>
                <w:szCs w:val="20"/>
              </w:rPr>
              <w:t xml:space="preserve"> </w:t>
            </w:r>
            <w:r w:rsidR="002E56D9">
              <w:rPr>
                <w:rFonts w:ascii="Century Schoolbook" w:hAnsi="Century Schoolbook"/>
                <w:sz w:val="20"/>
                <w:szCs w:val="20"/>
              </w:rPr>
              <w:t>T</w:t>
            </w:r>
            <w:r w:rsidR="002E56D9" w:rsidRPr="002E56D9">
              <w:rPr>
                <w:rFonts w:ascii="Century Schoolbook" w:hAnsi="Century Schoolbook"/>
                <w:sz w:val="20"/>
                <w:szCs w:val="20"/>
              </w:rPr>
              <w:t>his provision allow</w:t>
            </w:r>
            <w:r w:rsidR="00C14C64">
              <w:rPr>
                <w:rFonts w:ascii="Century Schoolbook" w:hAnsi="Century Schoolbook"/>
                <w:sz w:val="20"/>
                <w:szCs w:val="20"/>
              </w:rPr>
              <w:t>s</w:t>
            </w:r>
            <w:r w:rsidR="002E56D9" w:rsidRPr="002E56D9">
              <w:rPr>
                <w:rFonts w:ascii="Century Schoolbook" w:hAnsi="Century Schoolbook"/>
                <w:sz w:val="20"/>
                <w:szCs w:val="20"/>
              </w:rPr>
              <w:t xml:space="preserve"> customers to notify BPA </w:t>
            </w:r>
            <w:r w:rsidR="002E56D9">
              <w:rPr>
                <w:rFonts w:ascii="Century Schoolbook" w:hAnsi="Century Schoolbook"/>
                <w:sz w:val="20"/>
                <w:szCs w:val="20"/>
              </w:rPr>
              <w:t>if</w:t>
            </w:r>
            <w:r w:rsidR="002E56D9" w:rsidRPr="002E56D9">
              <w:rPr>
                <w:rFonts w:ascii="Century Schoolbook" w:hAnsi="Century Schoolbook"/>
                <w:sz w:val="20"/>
                <w:szCs w:val="20"/>
              </w:rPr>
              <w:t xml:space="preserve"> the information is </w:t>
            </w:r>
            <w:r w:rsidR="002E56D9">
              <w:rPr>
                <w:rFonts w:ascii="Century Schoolbook" w:hAnsi="Century Schoolbook"/>
                <w:sz w:val="20"/>
                <w:szCs w:val="20"/>
              </w:rPr>
              <w:t xml:space="preserve">already </w:t>
            </w:r>
            <w:r w:rsidR="002E56D9" w:rsidRPr="002E56D9">
              <w:rPr>
                <w:rFonts w:ascii="Century Schoolbook" w:hAnsi="Century Schoolbook"/>
                <w:sz w:val="20"/>
                <w:szCs w:val="20"/>
              </w:rPr>
              <w:t>available on their website.</w:t>
            </w:r>
          </w:p>
        </w:tc>
        <w:tc>
          <w:tcPr>
            <w:tcW w:w="5310" w:type="dxa"/>
          </w:tcPr>
          <w:p w14:paraId="6BD06FA2" w14:textId="55606729" w:rsidR="00BF69AB" w:rsidRPr="00BF69AB" w:rsidRDefault="00765778" w:rsidP="00753CC9">
            <w:pPr>
              <w:rPr>
                <w:rFonts w:ascii="Century Schoolbook" w:hAnsi="Century Schoolbook"/>
                <w:sz w:val="20"/>
                <w:szCs w:val="20"/>
              </w:rPr>
            </w:pPr>
            <w:r>
              <w:rPr>
                <w:rFonts w:ascii="Century Schoolbook" w:hAnsi="Century Schoolbook"/>
                <w:sz w:val="20"/>
                <w:szCs w:val="20"/>
              </w:rPr>
              <w:t>No</w:t>
            </w:r>
            <w:r w:rsidR="0068170F">
              <w:rPr>
                <w:rFonts w:ascii="Century Schoolbook" w:hAnsi="Century Schoolbook"/>
                <w:sz w:val="20"/>
                <w:szCs w:val="20"/>
              </w:rPr>
              <w:t xml:space="preserve"> substantive</w:t>
            </w:r>
            <w:r>
              <w:rPr>
                <w:rFonts w:ascii="Century Schoolbook" w:hAnsi="Century Schoolbook"/>
                <w:sz w:val="20"/>
                <w:szCs w:val="20"/>
              </w:rPr>
              <w:t xml:space="preserve"> changes.</w:t>
            </w:r>
          </w:p>
        </w:tc>
      </w:tr>
      <w:tr w:rsidR="002E56D9" w:rsidRPr="000F0FBC" w14:paraId="54C3C691" w14:textId="77777777" w:rsidTr="00801E11">
        <w:trPr>
          <w:cantSplit/>
          <w:trHeight w:val="68"/>
        </w:trPr>
        <w:tc>
          <w:tcPr>
            <w:tcW w:w="1800" w:type="dxa"/>
            <w:vMerge/>
          </w:tcPr>
          <w:p w14:paraId="50BBACAC" w14:textId="77777777" w:rsidR="002E56D9" w:rsidRDefault="002E56D9" w:rsidP="00000B4D">
            <w:pPr>
              <w:rPr>
                <w:rFonts w:ascii="Century Schoolbook" w:hAnsi="Century Schoolbook"/>
                <w:sz w:val="20"/>
                <w:szCs w:val="20"/>
              </w:rPr>
            </w:pPr>
          </w:p>
        </w:tc>
        <w:tc>
          <w:tcPr>
            <w:tcW w:w="1800" w:type="dxa"/>
            <w:vMerge/>
          </w:tcPr>
          <w:p w14:paraId="4ADC1E45" w14:textId="77777777" w:rsidR="002E56D9" w:rsidRDefault="002E56D9" w:rsidP="00000B4D">
            <w:pPr>
              <w:rPr>
                <w:rFonts w:ascii="Century Schoolbook" w:hAnsi="Century Schoolbook"/>
                <w:sz w:val="20"/>
                <w:szCs w:val="20"/>
              </w:rPr>
            </w:pPr>
          </w:p>
        </w:tc>
        <w:tc>
          <w:tcPr>
            <w:tcW w:w="5760" w:type="dxa"/>
          </w:tcPr>
          <w:p w14:paraId="79822A75" w14:textId="64252807" w:rsidR="002E56D9" w:rsidRPr="000F0FBC" w:rsidRDefault="00E77DB4" w:rsidP="00000B4D">
            <w:pPr>
              <w:rPr>
                <w:rFonts w:ascii="Century Schoolbook" w:hAnsi="Century Schoolbook"/>
                <w:sz w:val="20"/>
                <w:szCs w:val="20"/>
              </w:rPr>
            </w:pPr>
            <w:r>
              <w:rPr>
                <w:rFonts w:ascii="Century Schoolbook" w:hAnsi="Century Schoolbook"/>
                <w:sz w:val="20"/>
                <w:szCs w:val="20"/>
              </w:rPr>
              <w:t xml:space="preserve">Section </w:t>
            </w:r>
            <w:r w:rsidR="002E56D9">
              <w:rPr>
                <w:rFonts w:ascii="Century Schoolbook" w:hAnsi="Century Schoolbook"/>
                <w:sz w:val="20"/>
                <w:szCs w:val="20"/>
              </w:rPr>
              <w:t xml:space="preserve">23.2, Insufficiency and Allocations:  </w:t>
            </w:r>
            <w:r w:rsidR="00B707BA">
              <w:rPr>
                <w:rFonts w:ascii="Century Schoolbook" w:hAnsi="Century Schoolbook"/>
                <w:sz w:val="20"/>
                <w:szCs w:val="20"/>
              </w:rPr>
              <w:t>I</w:t>
            </w:r>
            <w:r w:rsidR="00C14C64">
              <w:rPr>
                <w:rFonts w:ascii="Century Schoolbook" w:hAnsi="Century Schoolbook"/>
                <w:sz w:val="20"/>
                <w:szCs w:val="20"/>
              </w:rPr>
              <w:t xml:space="preserve">f, after a reasonable period of experience, the Administrator determines he cannot acquire sufficient </w:t>
            </w:r>
            <w:r w:rsidR="00086FA3">
              <w:rPr>
                <w:rFonts w:ascii="Century Schoolbook" w:hAnsi="Century Schoolbook"/>
                <w:sz w:val="20"/>
                <w:szCs w:val="20"/>
              </w:rPr>
              <w:t xml:space="preserve">resources </w:t>
            </w:r>
            <w:r w:rsidR="00C14C64">
              <w:rPr>
                <w:rFonts w:ascii="Century Schoolbook" w:hAnsi="Century Schoolbook"/>
                <w:sz w:val="20"/>
                <w:szCs w:val="20"/>
              </w:rPr>
              <w:t>to meet his load obligations he may restrict his obligations</w:t>
            </w:r>
            <w:r w:rsidR="000029C8">
              <w:rPr>
                <w:rFonts w:ascii="Century Schoolbook" w:hAnsi="Century Schoolbook"/>
                <w:sz w:val="20"/>
                <w:szCs w:val="20"/>
              </w:rPr>
              <w:t xml:space="preserve"> during a period of insufficiency</w:t>
            </w:r>
            <w:r w:rsidR="00C14C64">
              <w:rPr>
                <w:rFonts w:ascii="Century Schoolbook" w:hAnsi="Century Schoolbook"/>
                <w:sz w:val="20"/>
                <w:szCs w:val="20"/>
              </w:rPr>
              <w:t xml:space="preserve">. </w:t>
            </w:r>
            <w:r w:rsidR="001F791C">
              <w:rPr>
                <w:rFonts w:ascii="Century Schoolbook" w:hAnsi="Century Schoolbook"/>
                <w:sz w:val="20"/>
                <w:szCs w:val="20"/>
              </w:rPr>
              <w:t xml:space="preserve"> </w:t>
            </w:r>
            <w:r w:rsidR="000029C8">
              <w:rPr>
                <w:rFonts w:ascii="Century Schoolbook" w:hAnsi="Century Schoolbook"/>
                <w:sz w:val="20"/>
                <w:szCs w:val="20"/>
              </w:rPr>
              <w:t>The provision references BPA’s insufficiency and allocations methodology</w:t>
            </w:r>
            <w:r w:rsidR="002E56D9" w:rsidRPr="002E56D9">
              <w:rPr>
                <w:rFonts w:ascii="Century Schoolbook" w:hAnsi="Century Schoolbook"/>
                <w:sz w:val="20"/>
                <w:szCs w:val="20"/>
              </w:rPr>
              <w:t>.</w:t>
            </w:r>
          </w:p>
        </w:tc>
        <w:tc>
          <w:tcPr>
            <w:tcW w:w="5310" w:type="dxa"/>
          </w:tcPr>
          <w:p w14:paraId="11A3D234" w14:textId="34BBBDD2" w:rsidR="002E56D9" w:rsidRPr="000F0FBC" w:rsidRDefault="00E77DB4" w:rsidP="00000B4D">
            <w:pPr>
              <w:rPr>
                <w:rFonts w:ascii="Century Schoolbook" w:hAnsi="Century Schoolbook"/>
                <w:sz w:val="20"/>
                <w:szCs w:val="20"/>
              </w:rPr>
            </w:pPr>
            <w:r>
              <w:rPr>
                <w:rFonts w:ascii="Century Schoolbook" w:hAnsi="Century Schoolbook"/>
                <w:sz w:val="20"/>
                <w:szCs w:val="20"/>
              </w:rPr>
              <w:t xml:space="preserve">Section </w:t>
            </w:r>
            <w:r w:rsidR="0024362D">
              <w:rPr>
                <w:rFonts w:ascii="Century Schoolbook" w:hAnsi="Century Schoolbook"/>
                <w:sz w:val="20"/>
                <w:szCs w:val="20"/>
              </w:rPr>
              <w:t xml:space="preserve">20.2, Insufficiency and Allocations:  </w:t>
            </w:r>
            <w:r w:rsidR="002208F0">
              <w:rPr>
                <w:rFonts w:ascii="Century Schoolbook" w:hAnsi="Century Schoolbook"/>
                <w:sz w:val="20"/>
                <w:szCs w:val="20"/>
              </w:rPr>
              <w:t xml:space="preserve">One edit </w:t>
            </w:r>
            <w:r w:rsidR="00765778">
              <w:rPr>
                <w:rFonts w:ascii="Century Schoolbook" w:hAnsi="Century Schoolbook"/>
                <w:sz w:val="20"/>
                <w:szCs w:val="20"/>
              </w:rPr>
              <w:t>compared to RD</w:t>
            </w:r>
            <w:r w:rsidR="002208F0">
              <w:rPr>
                <w:rFonts w:ascii="Century Schoolbook" w:hAnsi="Century Schoolbook"/>
                <w:sz w:val="20"/>
                <w:szCs w:val="20"/>
              </w:rPr>
              <w:t xml:space="preserve">: </w:t>
            </w:r>
            <w:r w:rsidR="00493C29">
              <w:rPr>
                <w:rFonts w:ascii="Century Schoolbook" w:hAnsi="Century Schoolbook"/>
                <w:sz w:val="20"/>
                <w:szCs w:val="20"/>
              </w:rPr>
              <w:t xml:space="preserve"> </w:t>
            </w:r>
            <w:r w:rsidR="002208F0">
              <w:rPr>
                <w:rFonts w:ascii="Century Schoolbook" w:hAnsi="Century Schoolbook"/>
                <w:sz w:val="20"/>
                <w:szCs w:val="20"/>
              </w:rPr>
              <w:t xml:space="preserve">a change </w:t>
            </w:r>
            <w:r w:rsidR="00493C29">
              <w:rPr>
                <w:rFonts w:ascii="Century Schoolbook" w:hAnsi="Century Schoolbook"/>
                <w:sz w:val="20"/>
                <w:szCs w:val="20"/>
              </w:rPr>
              <w:t xml:space="preserve">from </w:t>
            </w:r>
            <w:r w:rsidR="002208F0">
              <w:rPr>
                <w:rFonts w:ascii="Century Schoolbook" w:hAnsi="Century Schoolbook"/>
                <w:sz w:val="20"/>
                <w:szCs w:val="20"/>
              </w:rPr>
              <w:t>the term “federal power” to “electric power” which a</w:t>
            </w:r>
            <w:r w:rsidR="002208F0" w:rsidRPr="002208F0">
              <w:rPr>
                <w:rFonts w:ascii="Century Schoolbook" w:hAnsi="Century Schoolbook"/>
                <w:sz w:val="20"/>
                <w:szCs w:val="20"/>
              </w:rPr>
              <w:t>lign</w:t>
            </w:r>
            <w:r w:rsidR="002208F0">
              <w:rPr>
                <w:rFonts w:ascii="Century Schoolbook" w:hAnsi="Century Schoolbook"/>
                <w:sz w:val="20"/>
                <w:szCs w:val="20"/>
              </w:rPr>
              <w:t>s</w:t>
            </w:r>
            <w:r w:rsidR="002208F0" w:rsidRPr="002208F0">
              <w:rPr>
                <w:rFonts w:ascii="Century Schoolbook" w:hAnsi="Century Schoolbook"/>
                <w:sz w:val="20"/>
                <w:szCs w:val="20"/>
              </w:rPr>
              <w:t xml:space="preserve"> with the NW Power Act</w:t>
            </w:r>
            <w:r w:rsidR="002208F0">
              <w:rPr>
                <w:rFonts w:ascii="Century Schoolbook" w:hAnsi="Century Schoolbook"/>
                <w:sz w:val="20"/>
                <w:szCs w:val="20"/>
              </w:rPr>
              <w:t>.</w:t>
            </w:r>
          </w:p>
        </w:tc>
      </w:tr>
      <w:tr w:rsidR="002E56D9" w:rsidRPr="000F0FBC" w14:paraId="50588009" w14:textId="77777777" w:rsidTr="00801E11">
        <w:trPr>
          <w:cantSplit/>
          <w:trHeight w:val="68"/>
        </w:trPr>
        <w:tc>
          <w:tcPr>
            <w:tcW w:w="1800" w:type="dxa"/>
            <w:vMerge/>
          </w:tcPr>
          <w:p w14:paraId="75A592EC" w14:textId="77777777" w:rsidR="002E56D9" w:rsidRDefault="002E56D9" w:rsidP="00000B4D">
            <w:pPr>
              <w:rPr>
                <w:rFonts w:ascii="Century Schoolbook" w:hAnsi="Century Schoolbook"/>
                <w:sz w:val="20"/>
                <w:szCs w:val="20"/>
              </w:rPr>
            </w:pPr>
          </w:p>
        </w:tc>
        <w:tc>
          <w:tcPr>
            <w:tcW w:w="1800" w:type="dxa"/>
            <w:vMerge/>
          </w:tcPr>
          <w:p w14:paraId="6C02574D" w14:textId="77777777" w:rsidR="002E56D9" w:rsidRDefault="002E56D9" w:rsidP="00000B4D">
            <w:pPr>
              <w:rPr>
                <w:rFonts w:ascii="Century Schoolbook" w:hAnsi="Century Schoolbook"/>
                <w:sz w:val="20"/>
                <w:szCs w:val="20"/>
              </w:rPr>
            </w:pPr>
          </w:p>
        </w:tc>
        <w:tc>
          <w:tcPr>
            <w:tcW w:w="5760" w:type="dxa"/>
          </w:tcPr>
          <w:p w14:paraId="30DC10A5" w14:textId="2AE40973" w:rsidR="002E56D9" w:rsidRPr="000F0FBC" w:rsidRDefault="00E77DB4" w:rsidP="00000B4D">
            <w:pPr>
              <w:rPr>
                <w:rFonts w:ascii="Century Schoolbook" w:hAnsi="Century Schoolbook"/>
                <w:sz w:val="20"/>
                <w:szCs w:val="20"/>
              </w:rPr>
            </w:pPr>
            <w:r>
              <w:rPr>
                <w:rFonts w:ascii="Century Schoolbook" w:hAnsi="Century Schoolbook"/>
                <w:sz w:val="20"/>
                <w:szCs w:val="20"/>
              </w:rPr>
              <w:t xml:space="preserve">Section </w:t>
            </w:r>
            <w:r w:rsidR="00294C19">
              <w:rPr>
                <w:rFonts w:ascii="Century Schoolbook" w:hAnsi="Century Schoolbook"/>
                <w:sz w:val="20"/>
                <w:szCs w:val="20"/>
              </w:rPr>
              <w:t>23.</w:t>
            </w:r>
            <w:r w:rsidR="002208F0">
              <w:rPr>
                <w:rFonts w:ascii="Century Schoolbook" w:hAnsi="Century Schoolbook"/>
                <w:sz w:val="20"/>
                <w:szCs w:val="20"/>
              </w:rPr>
              <w:t xml:space="preserve">3, New Large Single Loads and CF/CTs:  </w:t>
            </w:r>
            <w:r w:rsidR="002208F0" w:rsidRPr="002208F0">
              <w:rPr>
                <w:rFonts w:ascii="Century Schoolbook" w:hAnsi="Century Schoolbook"/>
                <w:sz w:val="20"/>
                <w:szCs w:val="20"/>
              </w:rPr>
              <w:t>This provision establishe</w:t>
            </w:r>
            <w:r w:rsidR="004975E7">
              <w:rPr>
                <w:rFonts w:ascii="Century Schoolbook" w:hAnsi="Century Schoolbook"/>
                <w:sz w:val="20"/>
                <w:szCs w:val="20"/>
              </w:rPr>
              <w:t>s</w:t>
            </w:r>
            <w:r w:rsidR="002208F0" w:rsidRPr="002208F0">
              <w:rPr>
                <w:rFonts w:ascii="Century Schoolbook" w:hAnsi="Century Schoolbook"/>
                <w:sz w:val="20"/>
                <w:szCs w:val="20"/>
              </w:rPr>
              <w:t xml:space="preserve"> the </w:t>
            </w:r>
            <w:r w:rsidR="004975E7">
              <w:rPr>
                <w:rFonts w:ascii="Century Schoolbook" w:hAnsi="Century Schoolbook"/>
                <w:sz w:val="20"/>
                <w:szCs w:val="20"/>
              </w:rPr>
              <w:t xml:space="preserve">service to NLSLs and CF/CTs </w:t>
            </w:r>
            <w:r w:rsidR="002208F0" w:rsidRPr="002208F0">
              <w:rPr>
                <w:rFonts w:ascii="Century Schoolbook" w:hAnsi="Century Schoolbook"/>
                <w:sz w:val="20"/>
                <w:szCs w:val="20"/>
              </w:rPr>
              <w:t xml:space="preserve">and points to Exhibit D where </w:t>
            </w:r>
            <w:r w:rsidR="004975E7">
              <w:rPr>
                <w:rFonts w:ascii="Century Schoolbook" w:hAnsi="Century Schoolbook"/>
                <w:sz w:val="20"/>
                <w:szCs w:val="20"/>
              </w:rPr>
              <w:t>such types of load and their amounts are identified</w:t>
            </w:r>
            <w:r w:rsidR="002208F0" w:rsidRPr="002208F0">
              <w:rPr>
                <w:rFonts w:ascii="Century Schoolbook" w:hAnsi="Century Schoolbook"/>
                <w:sz w:val="20"/>
                <w:szCs w:val="20"/>
              </w:rPr>
              <w:t>.  It requires that the customer provide notice of loads that are likely to become NLSLs (Potential or Planned NLSLs).</w:t>
            </w:r>
          </w:p>
        </w:tc>
        <w:tc>
          <w:tcPr>
            <w:tcW w:w="5310" w:type="dxa"/>
          </w:tcPr>
          <w:p w14:paraId="05776489" w14:textId="71FABEAB" w:rsidR="002E56D9" w:rsidRPr="000F0FBC" w:rsidRDefault="00E77DB4" w:rsidP="00000B4D">
            <w:pPr>
              <w:rPr>
                <w:rFonts w:ascii="Century Schoolbook" w:hAnsi="Century Schoolbook"/>
                <w:sz w:val="20"/>
                <w:szCs w:val="20"/>
              </w:rPr>
            </w:pPr>
            <w:r>
              <w:rPr>
                <w:rFonts w:ascii="Century Schoolbook" w:hAnsi="Century Schoolbook"/>
                <w:sz w:val="20"/>
                <w:szCs w:val="20"/>
              </w:rPr>
              <w:t xml:space="preserve">Section </w:t>
            </w:r>
            <w:r w:rsidR="0024362D">
              <w:rPr>
                <w:rFonts w:ascii="Century Schoolbook" w:hAnsi="Century Schoolbook"/>
                <w:sz w:val="20"/>
                <w:szCs w:val="20"/>
              </w:rPr>
              <w:t xml:space="preserve">20.3, New Large Single Loads and CF/CTs:  BPA is </w:t>
            </w:r>
            <w:r w:rsidR="004975E7">
              <w:rPr>
                <w:rFonts w:ascii="Century Schoolbook" w:hAnsi="Century Schoolbook"/>
                <w:sz w:val="20"/>
                <w:szCs w:val="20"/>
              </w:rPr>
              <w:t>tak</w:t>
            </w:r>
            <w:r w:rsidR="0024362D">
              <w:rPr>
                <w:rFonts w:ascii="Century Schoolbook" w:hAnsi="Century Schoolbook"/>
                <w:sz w:val="20"/>
                <w:szCs w:val="20"/>
              </w:rPr>
              <w:t xml:space="preserve">ing </w:t>
            </w:r>
            <w:r w:rsidR="0024362D" w:rsidRPr="0024362D">
              <w:rPr>
                <w:rFonts w:ascii="Century Schoolbook" w:hAnsi="Century Schoolbook"/>
                <w:sz w:val="20"/>
                <w:szCs w:val="20"/>
              </w:rPr>
              <w:t>some language from Exhibit D</w:t>
            </w:r>
            <w:r w:rsidR="004975E7">
              <w:rPr>
                <w:rFonts w:ascii="Century Schoolbook" w:hAnsi="Century Schoolbook"/>
                <w:sz w:val="20"/>
                <w:szCs w:val="20"/>
              </w:rPr>
              <w:t xml:space="preserve"> and including it into section 20.3.</w:t>
            </w:r>
            <w:r w:rsidR="0024362D" w:rsidRPr="0024362D">
              <w:rPr>
                <w:rFonts w:ascii="Century Schoolbook" w:hAnsi="Century Schoolbook"/>
                <w:sz w:val="20"/>
                <w:szCs w:val="20"/>
              </w:rPr>
              <w:t xml:space="preserve"> </w:t>
            </w:r>
            <w:r w:rsidR="0082449D">
              <w:rPr>
                <w:rFonts w:ascii="Century Schoolbook" w:hAnsi="Century Schoolbook"/>
                <w:sz w:val="20"/>
                <w:szCs w:val="20"/>
              </w:rPr>
              <w:t xml:space="preserve"> </w:t>
            </w:r>
            <w:r w:rsidR="004975E7">
              <w:rPr>
                <w:rFonts w:ascii="Century Schoolbook" w:hAnsi="Century Schoolbook"/>
                <w:sz w:val="20"/>
                <w:szCs w:val="20"/>
              </w:rPr>
              <w:t xml:space="preserve">Some of the language is being </w:t>
            </w:r>
            <w:r w:rsidR="0024362D" w:rsidRPr="0024362D">
              <w:rPr>
                <w:rFonts w:ascii="Century Schoolbook" w:hAnsi="Century Schoolbook"/>
                <w:sz w:val="20"/>
                <w:szCs w:val="20"/>
              </w:rPr>
              <w:t>reorganiz</w:t>
            </w:r>
            <w:r w:rsidR="004975E7">
              <w:rPr>
                <w:rFonts w:ascii="Century Schoolbook" w:hAnsi="Century Schoolbook"/>
                <w:sz w:val="20"/>
                <w:szCs w:val="20"/>
              </w:rPr>
              <w:t>ed</w:t>
            </w:r>
            <w:r w:rsidR="0024362D" w:rsidRPr="0024362D">
              <w:rPr>
                <w:rFonts w:ascii="Century Schoolbook" w:hAnsi="Century Schoolbook"/>
                <w:sz w:val="20"/>
                <w:szCs w:val="20"/>
              </w:rPr>
              <w:t xml:space="preserve"> to improve flow and readability an</w:t>
            </w:r>
            <w:r w:rsidR="00753CC9">
              <w:rPr>
                <w:rFonts w:ascii="Century Schoolbook" w:hAnsi="Century Schoolbook"/>
                <w:sz w:val="20"/>
                <w:szCs w:val="20"/>
              </w:rPr>
              <w:t>d</w:t>
            </w:r>
            <w:r w:rsidR="0024362D" w:rsidRPr="0024362D">
              <w:rPr>
                <w:rFonts w:ascii="Century Schoolbook" w:hAnsi="Century Schoolbook"/>
                <w:sz w:val="20"/>
                <w:szCs w:val="20"/>
              </w:rPr>
              <w:t xml:space="preserve"> add clarity to the language.  </w:t>
            </w:r>
            <w:r w:rsidR="004975E7">
              <w:rPr>
                <w:rFonts w:ascii="Century Schoolbook" w:hAnsi="Century Schoolbook"/>
                <w:sz w:val="20"/>
                <w:szCs w:val="20"/>
              </w:rPr>
              <w:t>Should a Load Following customer request BPA to supply firm power to serve a Planned NLSL or an NLSL</w:t>
            </w:r>
            <w:r w:rsidR="00015AD9">
              <w:rPr>
                <w:rFonts w:ascii="Century Schoolbook" w:hAnsi="Century Schoolbook"/>
                <w:sz w:val="20"/>
                <w:szCs w:val="20"/>
              </w:rPr>
              <w:t>,</w:t>
            </w:r>
            <w:r w:rsidR="004975E7">
              <w:rPr>
                <w:rFonts w:ascii="Century Schoolbook" w:hAnsi="Century Schoolbook"/>
                <w:sz w:val="20"/>
                <w:szCs w:val="20"/>
              </w:rPr>
              <w:t xml:space="preserve"> </w:t>
            </w:r>
            <w:r w:rsidR="00015AD9">
              <w:rPr>
                <w:rFonts w:ascii="Century Schoolbook" w:hAnsi="Century Schoolbook"/>
                <w:sz w:val="20"/>
                <w:szCs w:val="20"/>
              </w:rPr>
              <w:t>t</w:t>
            </w:r>
            <w:r w:rsidR="0024362D" w:rsidRPr="0024362D">
              <w:rPr>
                <w:rFonts w:ascii="Century Schoolbook" w:hAnsi="Century Schoolbook"/>
                <w:sz w:val="20"/>
                <w:szCs w:val="20"/>
              </w:rPr>
              <w:t xml:space="preserve">erms and conditions </w:t>
            </w:r>
            <w:r w:rsidR="00015AD9">
              <w:rPr>
                <w:rFonts w:ascii="Century Schoolbook" w:hAnsi="Century Schoolbook"/>
                <w:sz w:val="20"/>
                <w:szCs w:val="20"/>
              </w:rPr>
              <w:t>are included</w:t>
            </w:r>
            <w:r w:rsidR="004975E7">
              <w:rPr>
                <w:rFonts w:ascii="Century Schoolbook" w:hAnsi="Century Schoolbook"/>
                <w:sz w:val="20"/>
                <w:szCs w:val="20"/>
              </w:rPr>
              <w:t xml:space="preserve"> </w:t>
            </w:r>
            <w:r w:rsidR="00015AD9">
              <w:rPr>
                <w:rFonts w:ascii="Century Schoolbook" w:hAnsi="Century Schoolbook"/>
                <w:sz w:val="20"/>
                <w:szCs w:val="20"/>
              </w:rPr>
              <w:t>to allow BPA to perform a</w:t>
            </w:r>
            <w:r w:rsidR="00015AD9" w:rsidRPr="0024362D">
              <w:rPr>
                <w:rFonts w:ascii="Century Schoolbook" w:hAnsi="Century Schoolbook"/>
                <w:sz w:val="20"/>
                <w:szCs w:val="20"/>
              </w:rPr>
              <w:t xml:space="preserve"> </w:t>
            </w:r>
            <w:r w:rsidR="0082449D">
              <w:rPr>
                <w:rFonts w:ascii="Century Schoolbook" w:hAnsi="Century Schoolbook"/>
                <w:sz w:val="20"/>
                <w:szCs w:val="20"/>
              </w:rPr>
              <w:t xml:space="preserve">service </w:t>
            </w:r>
            <w:r w:rsidR="00015AD9" w:rsidRPr="0024362D">
              <w:rPr>
                <w:rFonts w:ascii="Century Schoolbook" w:hAnsi="Century Schoolbook"/>
                <w:sz w:val="20"/>
                <w:szCs w:val="20"/>
              </w:rPr>
              <w:t xml:space="preserve">study to assess </w:t>
            </w:r>
            <w:r w:rsidR="00015AD9">
              <w:rPr>
                <w:rFonts w:ascii="Century Schoolbook" w:hAnsi="Century Schoolbook"/>
                <w:sz w:val="20"/>
                <w:szCs w:val="20"/>
              </w:rPr>
              <w:t>its</w:t>
            </w:r>
            <w:r w:rsidR="00015AD9" w:rsidRPr="0024362D">
              <w:rPr>
                <w:rFonts w:ascii="Century Schoolbook" w:hAnsi="Century Schoolbook"/>
                <w:sz w:val="20"/>
                <w:szCs w:val="20"/>
              </w:rPr>
              <w:t xml:space="preserve"> ability to </w:t>
            </w:r>
            <w:r w:rsidR="00015AD9">
              <w:rPr>
                <w:rFonts w:ascii="Century Schoolbook" w:hAnsi="Century Schoolbook"/>
                <w:sz w:val="20"/>
                <w:szCs w:val="20"/>
              </w:rPr>
              <w:t xml:space="preserve">meet such a request. </w:t>
            </w:r>
            <w:r w:rsidR="0052797B">
              <w:rPr>
                <w:rFonts w:ascii="Century Schoolbook" w:hAnsi="Century Schoolbook"/>
                <w:sz w:val="20"/>
                <w:szCs w:val="20"/>
              </w:rPr>
              <w:t xml:space="preserve"> </w:t>
            </w:r>
            <w:r w:rsidR="00015AD9">
              <w:rPr>
                <w:rFonts w:ascii="Century Schoolbook" w:hAnsi="Century Schoolbook"/>
                <w:sz w:val="20"/>
                <w:szCs w:val="20"/>
              </w:rPr>
              <w:t>The section also</w:t>
            </w:r>
            <w:r w:rsidR="0024362D" w:rsidRPr="0024362D">
              <w:rPr>
                <w:rFonts w:ascii="Century Schoolbook" w:hAnsi="Century Schoolbook"/>
                <w:sz w:val="20"/>
                <w:szCs w:val="20"/>
              </w:rPr>
              <w:t xml:space="preserve"> expand</w:t>
            </w:r>
            <w:r w:rsidR="00015AD9">
              <w:rPr>
                <w:rFonts w:ascii="Century Schoolbook" w:hAnsi="Century Schoolbook"/>
                <w:sz w:val="20"/>
                <w:szCs w:val="20"/>
              </w:rPr>
              <w:t>s</w:t>
            </w:r>
            <w:r w:rsidR="0024362D" w:rsidRPr="0024362D">
              <w:rPr>
                <w:rFonts w:ascii="Century Schoolbook" w:hAnsi="Century Schoolbook"/>
                <w:sz w:val="20"/>
                <w:szCs w:val="20"/>
              </w:rPr>
              <w:t xml:space="preserve"> flexibilities for Consumer-Owned Resources serving an NLSL.</w:t>
            </w:r>
          </w:p>
        </w:tc>
      </w:tr>
      <w:tr w:rsidR="002E56D9" w:rsidRPr="000F0FBC" w14:paraId="17D57C0D" w14:textId="77777777" w:rsidTr="00801E11">
        <w:trPr>
          <w:cantSplit/>
          <w:trHeight w:val="68"/>
        </w:trPr>
        <w:tc>
          <w:tcPr>
            <w:tcW w:w="1800" w:type="dxa"/>
            <w:vMerge/>
          </w:tcPr>
          <w:p w14:paraId="6E34AFCF" w14:textId="77777777" w:rsidR="002E56D9" w:rsidRDefault="002E56D9" w:rsidP="00000B4D">
            <w:pPr>
              <w:rPr>
                <w:rFonts w:ascii="Century Schoolbook" w:hAnsi="Century Schoolbook"/>
                <w:sz w:val="20"/>
                <w:szCs w:val="20"/>
              </w:rPr>
            </w:pPr>
          </w:p>
        </w:tc>
        <w:tc>
          <w:tcPr>
            <w:tcW w:w="1800" w:type="dxa"/>
            <w:vMerge/>
          </w:tcPr>
          <w:p w14:paraId="76499088" w14:textId="77777777" w:rsidR="002E56D9" w:rsidRDefault="002E56D9" w:rsidP="00000B4D">
            <w:pPr>
              <w:rPr>
                <w:rFonts w:ascii="Century Schoolbook" w:hAnsi="Century Schoolbook"/>
                <w:sz w:val="20"/>
                <w:szCs w:val="20"/>
              </w:rPr>
            </w:pPr>
          </w:p>
        </w:tc>
        <w:tc>
          <w:tcPr>
            <w:tcW w:w="5760" w:type="dxa"/>
          </w:tcPr>
          <w:p w14:paraId="7F3AA6D1" w14:textId="4764D291" w:rsidR="002E56D9" w:rsidRPr="000F0FBC" w:rsidRDefault="00BB76BC" w:rsidP="00000B4D">
            <w:pPr>
              <w:rPr>
                <w:rFonts w:ascii="Century Schoolbook" w:hAnsi="Century Schoolbook"/>
                <w:sz w:val="20"/>
                <w:szCs w:val="20"/>
              </w:rPr>
            </w:pPr>
            <w:r>
              <w:rPr>
                <w:rFonts w:ascii="Century Schoolbook" w:hAnsi="Century Schoolbook"/>
                <w:sz w:val="20"/>
                <w:szCs w:val="20"/>
              </w:rPr>
              <w:t xml:space="preserve">Section 23.4, Priority of Pacific Northwest Customers:  </w:t>
            </w:r>
            <w:r w:rsidRPr="00BB76BC">
              <w:rPr>
                <w:rFonts w:ascii="Century Schoolbook" w:hAnsi="Century Schoolbook"/>
                <w:sz w:val="20"/>
                <w:szCs w:val="20"/>
              </w:rPr>
              <w:t>This</w:t>
            </w:r>
            <w:r>
              <w:t xml:space="preserve"> </w:t>
            </w:r>
            <w:r w:rsidRPr="00BB76BC">
              <w:rPr>
                <w:rFonts w:ascii="Century Schoolbook" w:hAnsi="Century Schoolbook"/>
                <w:sz w:val="20"/>
                <w:szCs w:val="20"/>
              </w:rPr>
              <w:t xml:space="preserve">provision </w:t>
            </w:r>
            <w:r w:rsidR="002255EA">
              <w:rPr>
                <w:rFonts w:ascii="Century Schoolbook" w:hAnsi="Century Schoolbook"/>
                <w:sz w:val="20"/>
                <w:szCs w:val="20"/>
              </w:rPr>
              <w:t>incorporate</w:t>
            </w:r>
            <w:r w:rsidRPr="00BB76BC">
              <w:rPr>
                <w:rFonts w:ascii="Century Schoolbook" w:hAnsi="Century Schoolbook"/>
                <w:sz w:val="20"/>
                <w:szCs w:val="20"/>
              </w:rPr>
              <w:t>s</w:t>
            </w:r>
            <w:r w:rsidR="002255EA">
              <w:rPr>
                <w:rFonts w:ascii="Century Schoolbook" w:hAnsi="Century Schoolbook"/>
                <w:sz w:val="20"/>
                <w:szCs w:val="20"/>
              </w:rPr>
              <w:t xml:space="preserve"> by reference </w:t>
            </w:r>
            <w:r w:rsidRPr="00BB76BC">
              <w:rPr>
                <w:rFonts w:ascii="Century Schoolbook" w:hAnsi="Century Schoolbook"/>
                <w:sz w:val="20"/>
                <w:szCs w:val="20"/>
              </w:rPr>
              <w:t xml:space="preserve">the </w:t>
            </w:r>
            <w:r w:rsidR="00015AD9">
              <w:rPr>
                <w:rFonts w:ascii="Century Schoolbook" w:hAnsi="Century Schoolbook"/>
                <w:sz w:val="20"/>
                <w:szCs w:val="20"/>
              </w:rPr>
              <w:t xml:space="preserve">1964 Regional Preference Act </w:t>
            </w:r>
            <w:r w:rsidRPr="00BB76BC">
              <w:rPr>
                <w:rFonts w:ascii="Century Schoolbook" w:hAnsi="Century Schoolbook"/>
                <w:sz w:val="20"/>
                <w:szCs w:val="20"/>
              </w:rPr>
              <w:t xml:space="preserve">and </w:t>
            </w:r>
            <w:r w:rsidR="00015AD9">
              <w:rPr>
                <w:rFonts w:ascii="Century Schoolbook" w:hAnsi="Century Schoolbook"/>
                <w:sz w:val="20"/>
                <w:szCs w:val="20"/>
              </w:rPr>
              <w:t xml:space="preserve">sections </w:t>
            </w:r>
            <w:r w:rsidRPr="00BB76BC">
              <w:rPr>
                <w:rFonts w:ascii="Century Schoolbook" w:hAnsi="Century Schoolbook"/>
                <w:sz w:val="20"/>
                <w:szCs w:val="20"/>
              </w:rPr>
              <w:t xml:space="preserve">9(c) and 9(d) of the Northwest Power Act </w:t>
            </w:r>
            <w:r w:rsidR="00086FA3">
              <w:rPr>
                <w:rFonts w:ascii="Century Schoolbook" w:hAnsi="Century Schoolbook"/>
                <w:sz w:val="20"/>
                <w:szCs w:val="20"/>
              </w:rPr>
              <w:t>affirming</w:t>
            </w:r>
            <w:r w:rsidRPr="00BB76BC">
              <w:rPr>
                <w:rFonts w:ascii="Century Schoolbook" w:hAnsi="Century Schoolbook"/>
                <w:sz w:val="20"/>
                <w:szCs w:val="20"/>
              </w:rPr>
              <w:t xml:space="preserve"> </w:t>
            </w:r>
            <w:r w:rsidR="00086FA3">
              <w:rPr>
                <w:rFonts w:ascii="Century Schoolbook" w:hAnsi="Century Schoolbook"/>
                <w:sz w:val="20"/>
                <w:szCs w:val="20"/>
              </w:rPr>
              <w:t xml:space="preserve">regional and public </w:t>
            </w:r>
            <w:r w:rsidRPr="00BB76BC">
              <w:rPr>
                <w:rFonts w:ascii="Century Schoolbook" w:hAnsi="Century Schoolbook"/>
                <w:sz w:val="20"/>
                <w:szCs w:val="20"/>
              </w:rPr>
              <w:t>preference to Federal power generated in the Northwest consistent with BPA statutes.</w:t>
            </w:r>
            <w:r>
              <w:t xml:space="preserve">  </w:t>
            </w:r>
          </w:p>
        </w:tc>
        <w:tc>
          <w:tcPr>
            <w:tcW w:w="5310" w:type="dxa"/>
          </w:tcPr>
          <w:p w14:paraId="081E920C" w14:textId="1FAF2E7F" w:rsidR="002E56D9" w:rsidRPr="000F0FBC" w:rsidRDefault="00E77DB4" w:rsidP="00000B4D">
            <w:pPr>
              <w:rPr>
                <w:rFonts w:ascii="Century Schoolbook" w:hAnsi="Century Schoolbook"/>
                <w:sz w:val="20"/>
                <w:szCs w:val="20"/>
              </w:rPr>
            </w:pPr>
            <w:r>
              <w:rPr>
                <w:rFonts w:ascii="Century Schoolbook" w:hAnsi="Century Schoolbook"/>
                <w:sz w:val="20"/>
                <w:szCs w:val="20"/>
              </w:rPr>
              <w:t xml:space="preserve">Section 20.4, </w:t>
            </w:r>
            <w:r w:rsidR="00E35A21">
              <w:rPr>
                <w:rFonts w:ascii="Century Schoolbook" w:hAnsi="Century Schoolbook"/>
                <w:sz w:val="20"/>
                <w:szCs w:val="20"/>
              </w:rPr>
              <w:t xml:space="preserve">Priority of Northwest Customers:  </w:t>
            </w:r>
            <w:r w:rsidR="00493C29">
              <w:rPr>
                <w:rFonts w:ascii="Century Schoolbook" w:hAnsi="Century Schoolbook"/>
                <w:sz w:val="20"/>
                <w:szCs w:val="20"/>
              </w:rPr>
              <w:t>edit</w:t>
            </w:r>
            <w:r w:rsidR="00E3752C">
              <w:rPr>
                <w:rFonts w:ascii="Century Schoolbook" w:hAnsi="Century Schoolbook"/>
                <w:sz w:val="20"/>
                <w:szCs w:val="20"/>
              </w:rPr>
              <w:t xml:space="preserve"> to</w:t>
            </w:r>
            <w:r w:rsidR="00493C29">
              <w:rPr>
                <w:rFonts w:ascii="Century Schoolbook" w:hAnsi="Century Schoolbook"/>
                <w:sz w:val="20"/>
                <w:szCs w:val="20"/>
              </w:rPr>
              <w:t xml:space="preserve"> change the term “federal power” to “electric power” which a</w:t>
            </w:r>
            <w:r w:rsidR="00493C29" w:rsidRPr="002208F0">
              <w:rPr>
                <w:rFonts w:ascii="Century Schoolbook" w:hAnsi="Century Schoolbook"/>
                <w:sz w:val="20"/>
                <w:szCs w:val="20"/>
              </w:rPr>
              <w:t>lign</w:t>
            </w:r>
            <w:r w:rsidR="00493C29">
              <w:rPr>
                <w:rFonts w:ascii="Century Schoolbook" w:hAnsi="Century Schoolbook"/>
                <w:sz w:val="20"/>
                <w:szCs w:val="20"/>
              </w:rPr>
              <w:t>s</w:t>
            </w:r>
            <w:r w:rsidR="00493C29" w:rsidRPr="002208F0">
              <w:rPr>
                <w:rFonts w:ascii="Century Schoolbook" w:hAnsi="Century Schoolbook"/>
                <w:sz w:val="20"/>
                <w:szCs w:val="20"/>
              </w:rPr>
              <w:t xml:space="preserve"> with the NW Power Act</w:t>
            </w:r>
            <w:r w:rsidR="00493C29">
              <w:rPr>
                <w:rFonts w:ascii="Century Schoolbook" w:hAnsi="Century Schoolbook"/>
                <w:sz w:val="20"/>
                <w:szCs w:val="20"/>
              </w:rPr>
              <w:t>.</w:t>
            </w:r>
            <w:r w:rsidR="001A540A">
              <w:rPr>
                <w:rFonts w:ascii="Century Schoolbook" w:hAnsi="Century Schoolbook"/>
                <w:sz w:val="20"/>
                <w:szCs w:val="20"/>
              </w:rPr>
              <w:t xml:space="preserve">  BPA includes edits to state that </w:t>
            </w:r>
            <w:r w:rsidR="001A540A" w:rsidRPr="007F62B4">
              <w:rPr>
                <w:rFonts w:ascii="Century Schoolbook" w:hAnsi="Century Schoolbook"/>
                <w:sz w:val="20"/>
                <w:szCs w:val="20"/>
              </w:rPr>
              <w:t>sections 9(c) and 9(d) of the Northwest Power Act</w:t>
            </w:r>
            <w:r w:rsidR="001A540A">
              <w:rPr>
                <w:rFonts w:ascii="Century Schoolbook" w:hAnsi="Century Schoolbook"/>
                <w:sz w:val="20"/>
                <w:szCs w:val="20"/>
              </w:rPr>
              <w:t xml:space="preserve"> are implemented pursuant to BPA’s 5(b)/9(c) Policy.</w:t>
            </w:r>
          </w:p>
        </w:tc>
      </w:tr>
      <w:tr w:rsidR="002E56D9" w:rsidRPr="000F0FBC" w14:paraId="2982EB1A" w14:textId="77777777" w:rsidTr="00801E11">
        <w:trPr>
          <w:cantSplit/>
          <w:trHeight w:val="68"/>
        </w:trPr>
        <w:tc>
          <w:tcPr>
            <w:tcW w:w="1800" w:type="dxa"/>
            <w:vMerge/>
          </w:tcPr>
          <w:p w14:paraId="7404C035" w14:textId="77777777" w:rsidR="002E56D9" w:rsidRDefault="002E56D9" w:rsidP="00000B4D">
            <w:pPr>
              <w:rPr>
                <w:rFonts w:ascii="Century Schoolbook" w:hAnsi="Century Schoolbook"/>
                <w:sz w:val="20"/>
                <w:szCs w:val="20"/>
              </w:rPr>
            </w:pPr>
          </w:p>
        </w:tc>
        <w:tc>
          <w:tcPr>
            <w:tcW w:w="1800" w:type="dxa"/>
            <w:vMerge/>
          </w:tcPr>
          <w:p w14:paraId="754EA803" w14:textId="77777777" w:rsidR="002E56D9" w:rsidRDefault="002E56D9" w:rsidP="00000B4D">
            <w:pPr>
              <w:rPr>
                <w:rFonts w:ascii="Century Schoolbook" w:hAnsi="Century Schoolbook"/>
                <w:sz w:val="20"/>
                <w:szCs w:val="20"/>
              </w:rPr>
            </w:pPr>
          </w:p>
        </w:tc>
        <w:tc>
          <w:tcPr>
            <w:tcW w:w="5760" w:type="dxa"/>
          </w:tcPr>
          <w:p w14:paraId="6590778B" w14:textId="01EEE99C" w:rsidR="002E56D9" w:rsidRPr="000F0FBC" w:rsidRDefault="00BB76BC" w:rsidP="00000B4D">
            <w:pPr>
              <w:rPr>
                <w:rFonts w:ascii="Century Schoolbook" w:hAnsi="Century Schoolbook"/>
                <w:sz w:val="20"/>
                <w:szCs w:val="20"/>
              </w:rPr>
            </w:pPr>
            <w:r>
              <w:rPr>
                <w:rFonts w:ascii="Century Schoolbook" w:hAnsi="Century Schoolbook"/>
                <w:sz w:val="20"/>
                <w:szCs w:val="20"/>
              </w:rPr>
              <w:t xml:space="preserve">Section 23.5, Prohibition on Resale:  </w:t>
            </w:r>
            <w:r w:rsidRPr="00BB76BC">
              <w:rPr>
                <w:rFonts w:ascii="Century Schoolbook" w:hAnsi="Century Schoolbook"/>
                <w:sz w:val="20"/>
                <w:szCs w:val="20"/>
              </w:rPr>
              <w:t>This provision preclude</w:t>
            </w:r>
            <w:r w:rsidR="00A8503F">
              <w:rPr>
                <w:rFonts w:ascii="Century Schoolbook" w:hAnsi="Century Schoolbook"/>
                <w:sz w:val="20"/>
                <w:szCs w:val="20"/>
              </w:rPr>
              <w:t>s</w:t>
            </w:r>
            <w:r w:rsidRPr="00BB76BC">
              <w:rPr>
                <w:rFonts w:ascii="Century Schoolbook" w:hAnsi="Century Schoolbook"/>
                <w:sz w:val="20"/>
                <w:szCs w:val="20"/>
              </w:rPr>
              <w:t xml:space="preserve"> the resale of Firm Requirements Power, which is defined as power provided under section 5</w:t>
            </w:r>
            <w:r w:rsidR="00E35A21">
              <w:rPr>
                <w:rFonts w:ascii="Century Schoolbook" w:hAnsi="Century Schoolbook"/>
                <w:sz w:val="20"/>
                <w:szCs w:val="20"/>
              </w:rPr>
              <w:t>(</w:t>
            </w:r>
            <w:r w:rsidRPr="00BB76BC">
              <w:rPr>
                <w:rFonts w:ascii="Century Schoolbook" w:hAnsi="Century Schoolbook"/>
                <w:sz w:val="20"/>
                <w:szCs w:val="20"/>
              </w:rPr>
              <w:t>b</w:t>
            </w:r>
            <w:r w:rsidR="00E35A21">
              <w:rPr>
                <w:rFonts w:ascii="Century Schoolbook" w:hAnsi="Century Schoolbook"/>
                <w:sz w:val="20"/>
                <w:szCs w:val="20"/>
              </w:rPr>
              <w:t>)</w:t>
            </w:r>
            <w:r w:rsidRPr="00BB76BC">
              <w:rPr>
                <w:rFonts w:ascii="Century Schoolbook" w:hAnsi="Century Schoolbook"/>
                <w:sz w:val="20"/>
                <w:szCs w:val="20"/>
              </w:rPr>
              <w:t xml:space="preserve"> of the Northwest Power Act.</w:t>
            </w:r>
          </w:p>
        </w:tc>
        <w:tc>
          <w:tcPr>
            <w:tcW w:w="5310" w:type="dxa"/>
          </w:tcPr>
          <w:p w14:paraId="72470475" w14:textId="109D15EF" w:rsidR="002E56D9" w:rsidRPr="000F0FBC" w:rsidRDefault="00E77DB4" w:rsidP="00000B4D">
            <w:pPr>
              <w:rPr>
                <w:rFonts w:ascii="Century Schoolbook" w:hAnsi="Century Schoolbook"/>
                <w:sz w:val="20"/>
                <w:szCs w:val="20"/>
              </w:rPr>
            </w:pPr>
            <w:r>
              <w:rPr>
                <w:rFonts w:ascii="Century Schoolbook" w:hAnsi="Century Schoolbook"/>
                <w:sz w:val="20"/>
                <w:szCs w:val="20"/>
              </w:rPr>
              <w:t xml:space="preserve">Section 20.5, </w:t>
            </w:r>
            <w:r w:rsidR="00E35A21">
              <w:rPr>
                <w:rFonts w:ascii="Century Schoolbook" w:hAnsi="Century Schoolbook"/>
                <w:sz w:val="20"/>
                <w:szCs w:val="20"/>
              </w:rPr>
              <w:t xml:space="preserve">Prohibition on Resale:  </w:t>
            </w:r>
            <w:r w:rsidR="00493C29">
              <w:rPr>
                <w:rFonts w:ascii="Century Schoolbook" w:hAnsi="Century Schoolbook"/>
                <w:sz w:val="20"/>
                <w:szCs w:val="20"/>
              </w:rPr>
              <w:t>No changes.</w:t>
            </w:r>
          </w:p>
        </w:tc>
      </w:tr>
      <w:tr w:rsidR="002E56D9" w:rsidRPr="000F0FBC" w14:paraId="3F5E496E" w14:textId="77777777" w:rsidTr="00801E11">
        <w:trPr>
          <w:cantSplit/>
          <w:trHeight w:val="68"/>
        </w:trPr>
        <w:tc>
          <w:tcPr>
            <w:tcW w:w="1800" w:type="dxa"/>
            <w:vMerge/>
          </w:tcPr>
          <w:p w14:paraId="1E81FBD2" w14:textId="77777777" w:rsidR="002E56D9" w:rsidRDefault="002E56D9" w:rsidP="00000B4D">
            <w:pPr>
              <w:rPr>
                <w:rFonts w:ascii="Century Schoolbook" w:hAnsi="Century Schoolbook"/>
                <w:sz w:val="20"/>
                <w:szCs w:val="20"/>
              </w:rPr>
            </w:pPr>
          </w:p>
        </w:tc>
        <w:tc>
          <w:tcPr>
            <w:tcW w:w="1800" w:type="dxa"/>
            <w:vMerge/>
          </w:tcPr>
          <w:p w14:paraId="7BA663AE" w14:textId="77777777" w:rsidR="002E56D9" w:rsidRDefault="002E56D9" w:rsidP="00000B4D">
            <w:pPr>
              <w:rPr>
                <w:rFonts w:ascii="Century Schoolbook" w:hAnsi="Century Schoolbook"/>
                <w:sz w:val="20"/>
                <w:szCs w:val="20"/>
              </w:rPr>
            </w:pPr>
          </w:p>
        </w:tc>
        <w:tc>
          <w:tcPr>
            <w:tcW w:w="5760" w:type="dxa"/>
          </w:tcPr>
          <w:p w14:paraId="394AF37C" w14:textId="13319EA3" w:rsidR="002E56D9" w:rsidRPr="000F0FBC" w:rsidRDefault="00BB76BC" w:rsidP="00000B4D">
            <w:pPr>
              <w:rPr>
                <w:rFonts w:ascii="Century Schoolbook" w:hAnsi="Century Schoolbook"/>
                <w:sz w:val="20"/>
                <w:szCs w:val="20"/>
              </w:rPr>
            </w:pPr>
            <w:r>
              <w:rPr>
                <w:rFonts w:ascii="Century Schoolbook" w:hAnsi="Century Schoolbook"/>
                <w:sz w:val="20"/>
                <w:szCs w:val="20"/>
              </w:rPr>
              <w:t>Section 23.6, Use of Regional Resources:  This provision help</w:t>
            </w:r>
            <w:r w:rsidR="00A8503F">
              <w:rPr>
                <w:rFonts w:ascii="Century Schoolbook" w:hAnsi="Century Schoolbook"/>
                <w:sz w:val="20"/>
                <w:szCs w:val="20"/>
              </w:rPr>
              <w:t>s</w:t>
            </w:r>
            <w:r>
              <w:rPr>
                <w:rFonts w:ascii="Century Schoolbook" w:hAnsi="Century Schoolbook"/>
                <w:sz w:val="20"/>
                <w:szCs w:val="20"/>
              </w:rPr>
              <w:t xml:space="preserve"> ensure BPA’s 9(c) Policy </w:t>
            </w:r>
            <w:r w:rsidR="00A8503F">
              <w:rPr>
                <w:rFonts w:ascii="Century Schoolbook" w:hAnsi="Century Schoolbook"/>
                <w:sz w:val="20"/>
                <w:szCs w:val="20"/>
              </w:rPr>
              <w:t>i</w:t>
            </w:r>
            <w:r>
              <w:rPr>
                <w:rFonts w:ascii="Century Schoolbook" w:hAnsi="Century Schoolbook"/>
                <w:sz w:val="20"/>
                <w:szCs w:val="20"/>
              </w:rPr>
              <w:t>s enforceable.  It require</w:t>
            </w:r>
            <w:r w:rsidR="00A8503F">
              <w:rPr>
                <w:rFonts w:ascii="Century Schoolbook" w:hAnsi="Century Schoolbook"/>
                <w:sz w:val="20"/>
                <w:szCs w:val="20"/>
              </w:rPr>
              <w:t>s</w:t>
            </w:r>
            <w:r>
              <w:rPr>
                <w:rFonts w:ascii="Century Schoolbook" w:hAnsi="Century Schoolbook"/>
                <w:sz w:val="20"/>
                <w:szCs w:val="20"/>
              </w:rPr>
              <w:t xml:space="preserve"> a customer to notify BPA before they export power from a Generating Resource or Contract Resource</w:t>
            </w:r>
            <w:r w:rsidR="00A8503F">
              <w:rPr>
                <w:rFonts w:ascii="Century Schoolbook" w:hAnsi="Century Schoolbook"/>
                <w:sz w:val="20"/>
                <w:szCs w:val="20"/>
              </w:rPr>
              <w:t xml:space="preserve"> that has been used to serve firm consumer load</w:t>
            </w:r>
            <w:r>
              <w:rPr>
                <w:rFonts w:ascii="Century Schoolbook" w:hAnsi="Century Schoolbook"/>
                <w:sz w:val="20"/>
                <w:szCs w:val="20"/>
              </w:rPr>
              <w:t xml:space="preserve">, and </w:t>
            </w:r>
            <w:r w:rsidR="00342841">
              <w:rPr>
                <w:rFonts w:ascii="Century Schoolbook" w:hAnsi="Century Schoolbook"/>
                <w:sz w:val="20"/>
                <w:szCs w:val="20"/>
              </w:rPr>
              <w:t xml:space="preserve">it </w:t>
            </w:r>
            <w:r>
              <w:rPr>
                <w:rFonts w:ascii="Century Schoolbook" w:hAnsi="Century Schoolbook"/>
                <w:sz w:val="20"/>
                <w:szCs w:val="20"/>
              </w:rPr>
              <w:t>allow</w:t>
            </w:r>
            <w:r w:rsidR="00A8503F">
              <w:rPr>
                <w:rFonts w:ascii="Century Schoolbook" w:hAnsi="Century Schoolbook"/>
                <w:sz w:val="20"/>
                <w:szCs w:val="20"/>
              </w:rPr>
              <w:t>s</w:t>
            </w:r>
            <w:r>
              <w:rPr>
                <w:rFonts w:ascii="Century Schoolbook" w:hAnsi="Century Schoolbook"/>
                <w:sz w:val="20"/>
                <w:szCs w:val="20"/>
              </w:rPr>
              <w:t xml:space="preserve"> BPA to decrement the customer’s power purchases from BPA if they d</w:t>
            </w:r>
            <w:r w:rsidR="00A8503F">
              <w:rPr>
                <w:rFonts w:ascii="Century Schoolbook" w:hAnsi="Century Schoolbook"/>
                <w:sz w:val="20"/>
                <w:szCs w:val="20"/>
              </w:rPr>
              <w:t>o</w:t>
            </w:r>
            <w:r>
              <w:rPr>
                <w:rFonts w:ascii="Century Schoolbook" w:hAnsi="Century Schoolbook"/>
                <w:sz w:val="20"/>
                <w:szCs w:val="20"/>
              </w:rPr>
              <w:t xml:space="preserve"> not report an export out of region.</w:t>
            </w:r>
          </w:p>
        </w:tc>
        <w:tc>
          <w:tcPr>
            <w:tcW w:w="5310" w:type="dxa"/>
          </w:tcPr>
          <w:p w14:paraId="0B6BBDD5" w14:textId="53B23D11" w:rsidR="002E56D9" w:rsidRPr="000F0FBC" w:rsidRDefault="00E77DB4" w:rsidP="00000B4D">
            <w:pPr>
              <w:rPr>
                <w:rFonts w:ascii="Century Schoolbook" w:hAnsi="Century Schoolbook"/>
                <w:sz w:val="20"/>
                <w:szCs w:val="20"/>
              </w:rPr>
            </w:pPr>
            <w:r>
              <w:rPr>
                <w:rFonts w:ascii="Century Schoolbook" w:hAnsi="Century Schoolbook"/>
                <w:sz w:val="20"/>
                <w:szCs w:val="20"/>
              </w:rPr>
              <w:t xml:space="preserve">Section 20.6, </w:t>
            </w:r>
            <w:r w:rsidR="00E35A21">
              <w:rPr>
                <w:rFonts w:ascii="Century Schoolbook" w:hAnsi="Century Schoolbook"/>
                <w:sz w:val="20"/>
                <w:szCs w:val="20"/>
              </w:rPr>
              <w:t xml:space="preserve">Use of Regional Resources:  </w:t>
            </w:r>
            <w:r w:rsidR="00493C29">
              <w:rPr>
                <w:rFonts w:ascii="Century Schoolbook" w:hAnsi="Century Schoolbook"/>
                <w:sz w:val="20"/>
                <w:szCs w:val="20"/>
              </w:rPr>
              <w:t xml:space="preserve">This section includes </w:t>
            </w:r>
            <w:r w:rsidR="00493C29" w:rsidRPr="00493C29">
              <w:rPr>
                <w:rFonts w:ascii="Century Schoolbook" w:hAnsi="Century Schoolbook"/>
                <w:sz w:val="20"/>
                <w:szCs w:val="20"/>
              </w:rPr>
              <w:t>edits to update terminology (</w:t>
            </w:r>
            <w:r w:rsidR="00A8503F" w:rsidRPr="00493C29">
              <w:rPr>
                <w:rFonts w:ascii="Century Schoolbook" w:hAnsi="Century Schoolbook"/>
                <w:sz w:val="20"/>
                <w:szCs w:val="20"/>
              </w:rPr>
              <w:t>i.e</w:t>
            </w:r>
            <w:r w:rsidR="00493C29" w:rsidRPr="00493C29">
              <w:rPr>
                <w:rFonts w:ascii="Century Schoolbook" w:hAnsi="Century Schoolbook"/>
                <w:sz w:val="20"/>
                <w:szCs w:val="20"/>
              </w:rPr>
              <w:t>.</w:t>
            </w:r>
            <w:r w:rsidR="00A8503F">
              <w:rPr>
                <w:rFonts w:ascii="Century Schoolbook" w:hAnsi="Century Schoolbook"/>
                <w:sz w:val="20"/>
                <w:szCs w:val="20"/>
              </w:rPr>
              <w:t>,</w:t>
            </w:r>
            <w:r w:rsidR="00493C29" w:rsidRPr="00493C29">
              <w:rPr>
                <w:rFonts w:ascii="Century Schoolbook" w:hAnsi="Century Schoolbook"/>
                <w:sz w:val="20"/>
                <w:szCs w:val="20"/>
              </w:rPr>
              <w:t xml:space="preserve"> Purchase Period changed to Rate Period), reflect current circumstances (PNCA expiring), and delet</w:t>
            </w:r>
            <w:r w:rsidR="00765778">
              <w:rPr>
                <w:rFonts w:ascii="Century Schoolbook" w:hAnsi="Century Schoolbook"/>
                <w:sz w:val="20"/>
                <w:szCs w:val="20"/>
              </w:rPr>
              <w:t>e</w:t>
            </w:r>
            <w:r w:rsidR="00493C29" w:rsidRPr="00493C29">
              <w:rPr>
                <w:rFonts w:ascii="Century Schoolbook" w:hAnsi="Century Schoolbook"/>
                <w:sz w:val="20"/>
                <w:szCs w:val="20"/>
              </w:rPr>
              <w:t xml:space="preserve"> the definition of firm power.  Additionally, BPA is </w:t>
            </w:r>
            <w:r w:rsidR="00765778">
              <w:rPr>
                <w:rFonts w:ascii="Century Schoolbook" w:hAnsi="Century Schoolbook"/>
                <w:sz w:val="20"/>
                <w:szCs w:val="20"/>
              </w:rPr>
              <w:t>adding</w:t>
            </w:r>
            <w:r w:rsidR="00765778" w:rsidRPr="00493C29">
              <w:rPr>
                <w:rFonts w:ascii="Century Schoolbook" w:hAnsi="Century Schoolbook"/>
                <w:sz w:val="20"/>
                <w:szCs w:val="20"/>
              </w:rPr>
              <w:t xml:space="preserve"> </w:t>
            </w:r>
            <w:r w:rsidR="00493C29" w:rsidRPr="00493C29">
              <w:rPr>
                <w:rFonts w:ascii="Century Schoolbook" w:hAnsi="Century Schoolbook"/>
                <w:sz w:val="20"/>
                <w:szCs w:val="20"/>
              </w:rPr>
              <w:t>a new subsection that states participation in a day ahead market will not be considered an “export outside the Region” if specific criteria are met.</w:t>
            </w:r>
          </w:p>
        </w:tc>
      </w:tr>
      <w:tr w:rsidR="002E56D9" w:rsidRPr="000F0FBC" w14:paraId="26A6CBCA" w14:textId="77777777" w:rsidTr="00801E11">
        <w:trPr>
          <w:cantSplit/>
          <w:trHeight w:val="68"/>
        </w:trPr>
        <w:tc>
          <w:tcPr>
            <w:tcW w:w="1800" w:type="dxa"/>
            <w:vMerge/>
          </w:tcPr>
          <w:p w14:paraId="1F33CB84" w14:textId="77777777" w:rsidR="002E56D9" w:rsidRDefault="002E56D9" w:rsidP="00000B4D">
            <w:pPr>
              <w:rPr>
                <w:rFonts w:ascii="Century Schoolbook" w:hAnsi="Century Schoolbook"/>
                <w:sz w:val="20"/>
                <w:szCs w:val="20"/>
              </w:rPr>
            </w:pPr>
          </w:p>
        </w:tc>
        <w:tc>
          <w:tcPr>
            <w:tcW w:w="1800" w:type="dxa"/>
            <w:vMerge/>
          </w:tcPr>
          <w:p w14:paraId="21135687" w14:textId="77777777" w:rsidR="002E56D9" w:rsidRDefault="002E56D9" w:rsidP="00000B4D">
            <w:pPr>
              <w:rPr>
                <w:rFonts w:ascii="Century Schoolbook" w:hAnsi="Century Schoolbook"/>
                <w:sz w:val="20"/>
                <w:szCs w:val="20"/>
              </w:rPr>
            </w:pPr>
          </w:p>
        </w:tc>
        <w:tc>
          <w:tcPr>
            <w:tcW w:w="5760" w:type="dxa"/>
          </w:tcPr>
          <w:p w14:paraId="7DEB4F22" w14:textId="2E23E4BF" w:rsidR="002E56D9" w:rsidRPr="000F0FBC" w:rsidRDefault="00BB76BC" w:rsidP="00000B4D">
            <w:pPr>
              <w:rPr>
                <w:rFonts w:ascii="Century Schoolbook" w:hAnsi="Century Schoolbook"/>
                <w:sz w:val="20"/>
                <w:szCs w:val="20"/>
              </w:rPr>
            </w:pPr>
            <w:r>
              <w:rPr>
                <w:rFonts w:ascii="Century Schoolbook" w:hAnsi="Century Schoolbook"/>
                <w:sz w:val="20"/>
                <w:szCs w:val="20"/>
              </w:rPr>
              <w:t xml:space="preserve">Section 23.7, </w:t>
            </w:r>
            <w:r w:rsidR="002E56D9">
              <w:rPr>
                <w:rFonts w:ascii="Century Schoolbook" w:hAnsi="Century Schoolbook"/>
                <w:sz w:val="20"/>
                <w:szCs w:val="20"/>
              </w:rPr>
              <w:t xml:space="preserve">BPA Appropriations Refinancing:  </w:t>
            </w:r>
            <w:r w:rsidR="0082449D">
              <w:rPr>
                <w:rFonts w:ascii="Century Schoolbook" w:hAnsi="Century Schoolbook"/>
                <w:sz w:val="20"/>
                <w:szCs w:val="20"/>
              </w:rPr>
              <w:t>T</w:t>
            </w:r>
            <w:r w:rsidR="002E56D9" w:rsidRPr="002E56D9">
              <w:rPr>
                <w:rFonts w:ascii="Century Schoolbook" w:hAnsi="Century Schoolbook"/>
                <w:sz w:val="20"/>
                <w:szCs w:val="20"/>
              </w:rPr>
              <w:t>he 1996 BPA Refinancing Act requires that BPA offer to include section 3201(i) of the Act in its contracts.</w:t>
            </w:r>
            <w:r w:rsidR="002E56D9">
              <w:rPr>
                <w:rFonts w:ascii="Century Schoolbook" w:hAnsi="Century Schoolbook"/>
                <w:sz w:val="20"/>
                <w:szCs w:val="20"/>
              </w:rPr>
              <w:t xml:space="preserve"> </w:t>
            </w:r>
            <w:r w:rsidR="0082449D">
              <w:rPr>
                <w:rFonts w:ascii="Century Schoolbook" w:hAnsi="Century Schoolbook"/>
                <w:sz w:val="20"/>
                <w:szCs w:val="20"/>
              </w:rPr>
              <w:t xml:space="preserve"> </w:t>
            </w:r>
            <w:r w:rsidR="002E56D9" w:rsidRPr="002E56D9">
              <w:rPr>
                <w:rFonts w:ascii="Century Schoolbook" w:hAnsi="Century Schoolbook"/>
                <w:sz w:val="20"/>
                <w:szCs w:val="20"/>
              </w:rPr>
              <w:t xml:space="preserve">By incorporating this </w:t>
            </w:r>
            <w:r w:rsidR="00856A3C">
              <w:rPr>
                <w:rFonts w:ascii="Century Schoolbook" w:hAnsi="Century Schoolbook"/>
                <w:sz w:val="20"/>
                <w:szCs w:val="20"/>
              </w:rPr>
              <w:t>provision,</w:t>
            </w:r>
            <w:r w:rsidR="002E56D9" w:rsidRPr="002E56D9">
              <w:rPr>
                <w:rFonts w:ascii="Century Schoolbook" w:hAnsi="Century Schoolbook"/>
                <w:sz w:val="20"/>
                <w:szCs w:val="20"/>
              </w:rPr>
              <w:t xml:space="preserve"> customers </w:t>
            </w:r>
            <w:r w:rsidR="00A8503F">
              <w:rPr>
                <w:rFonts w:ascii="Century Schoolbook" w:hAnsi="Century Schoolbook"/>
                <w:sz w:val="20"/>
                <w:szCs w:val="20"/>
              </w:rPr>
              <w:t>a</w:t>
            </w:r>
            <w:r w:rsidR="00E35A21">
              <w:rPr>
                <w:rFonts w:ascii="Century Schoolbook" w:hAnsi="Century Schoolbook"/>
                <w:sz w:val="20"/>
                <w:szCs w:val="20"/>
              </w:rPr>
              <w:t>re</w:t>
            </w:r>
            <w:r w:rsidR="002E56D9" w:rsidRPr="002E56D9">
              <w:rPr>
                <w:rFonts w:ascii="Century Schoolbook" w:hAnsi="Century Schoolbook"/>
                <w:sz w:val="20"/>
                <w:szCs w:val="20"/>
              </w:rPr>
              <w:t xml:space="preserve"> held harmless from any congressional legislation to refinance BPA</w:t>
            </w:r>
            <w:r w:rsidR="0082449D">
              <w:rPr>
                <w:rFonts w:ascii="Century Schoolbook" w:hAnsi="Century Schoolbook"/>
                <w:sz w:val="20"/>
                <w:szCs w:val="20"/>
              </w:rPr>
              <w:t>’</w:t>
            </w:r>
            <w:r w:rsidR="002E56D9" w:rsidRPr="002E56D9">
              <w:rPr>
                <w:rFonts w:ascii="Century Schoolbook" w:hAnsi="Century Schoolbook"/>
                <w:sz w:val="20"/>
                <w:szCs w:val="20"/>
              </w:rPr>
              <w:t>s debt during the term of the contract.</w:t>
            </w:r>
          </w:p>
        </w:tc>
        <w:tc>
          <w:tcPr>
            <w:tcW w:w="5310" w:type="dxa"/>
          </w:tcPr>
          <w:p w14:paraId="4747C03D" w14:textId="320B50AC" w:rsidR="002E56D9" w:rsidRPr="000F0FBC" w:rsidRDefault="00E77DB4" w:rsidP="00000B4D">
            <w:pPr>
              <w:rPr>
                <w:rFonts w:ascii="Century Schoolbook" w:hAnsi="Century Schoolbook"/>
                <w:sz w:val="20"/>
                <w:szCs w:val="20"/>
              </w:rPr>
            </w:pPr>
            <w:r>
              <w:rPr>
                <w:rFonts w:ascii="Century Schoolbook" w:hAnsi="Century Schoolbook"/>
                <w:sz w:val="20"/>
                <w:szCs w:val="20"/>
              </w:rPr>
              <w:t xml:space="preserve">Section 20.7 </w:t>
            </w:r>
            <w:r w:rsidR="00765778">
              <w:rPr>
                <w:rFonts w:ascii="Century Schoolbook" w:hAnsi="Century Schoolbook"/>
                <w:sz w:val="20"/>
                <w:szCs w:val="20"/>
              </w:rPr>
              <w:t>add</w:t>
            </w:r>
            <w:r w:rsidR="00995618">
              <w:rPr>
                <w:rFonts w:ascii="Century Schoolbook" w:hAnsi="Century Schoolbook"/>
                <w:sz w:val="20"/>
                <w:szCs w:val="20"/>
              </w:rPr>
              <w:t>s</w:t>
            </w:r>
            <w:r w:rsidR="008956F8">
              <w:rPr>
                <w:rFonts w:ascii="Century Schoolbook" w:hAnsi="Century Schoolbook"/>
                <w:sz w:val="20"/>
                <w:szCs w:val="20"/>
              </w:rPr>
              <w:t xml:space="preserve"> the US Code reference in the citation of the BPA Refinancing Act.</w:t>
            </w:r>
          </w:p>
        </w:tc>
      </w:tr>
      <w:tr w:rsidR="008226ED" w:rsidRPr="000F0FBC" w14:paraId="6868FB65" w14:textId="77777777" w:rsidTr="00801E11">
        <w:trPr>
          <w:cantSplit/>
          <w:trHeight w:val="60"/>
        </w:trPr>
        <w:tc>
          <w:tcPr>
            <w:tcW w:w="1800" w:type="dxa"/>
            <w:vMerge w:val="restart"/>
          </w:tcPr>
          <w:p w14:paraId="5C0537E6" w14:textId="191426E1" w:rsidR="008226ED" w:rsidRDefault="008226ED" w:rsidP="00000B4D">
            <w:pPr>
              <w:rPr>
                <w:rFonts w:ascii="Century Schoolbook" w:hAnsi="Century Schoolbook"/>
                <w:sz w:val="20"/>
                <w:szCs w:val="20"/>
              </w:rPr>
            </w:pPr>
            <w:r>
              <w:rPr>
                <w:rFonts w:ascii="Century Schoolbook" w:hAnsi="Century Schoolbook"/>
                <w:sz w:val="20"/>
                <w:szCs w:val="20"/>
              </w:rPr>
              <w:lastRenderedPageBreak/>
              <w:t>24. Standard Provisions</w:t>
            </w:r>
          </w:p>
        </w:tc>
        <w:tc>
          <w:tcPr>
            <w:tcW w:w="1800" w:type="dxa"/>
            <w:vMerge w:val="restart"/>
          </w:tcPr>
          <w:p w14:paraId="4F3E5768" w14:textId="35244F2B" w:rsidR="008226ED" w:rsidRPr="000F0FBC" w:rsidRDefault="008226ED" w:rsidP="00000B4D">
            <w:pPr>
              <w:rPr>
                <w:rFonts w:ascii="Century Schoolbook" w:hAnsi="Century Schoolbook"/>
                <w:sz w:val="20"/>
                <w:szCs w:val="20"/>
              </w:rPr>
            </w:pPr>
            <w:r>
              <w:rPr>
                <w:rFonts w:ascii="Century Schoolbook" w:hAnsi="Century Schoolbook"/>
                <w:sz w:val="20"/>
                <w:szCs w:val="20"/>
              </w:rPr>
              <w:t>21. Standard Provisions</w:t>
            </w:r>
          </w:p>
        </w:tc>
        <w:tc>
          <w:tcPr>
            <w:tcW w:w="5760" w:type="dxa"/>
          </w:tcPr>
          <w:p w14:paraId="25AC1D5B" w14:textId="1B3F7723" w:rsidR="008226ED" w:rsidRPr="000F0FBC" w:rsidRDefault="008226ED" w:rsidP="00000B4D">
            <w:pPr>
              <w:rPr>
                <w:rFonts w:ascii="Century Schoolbook" w:hAnsi="Century Schoolbook"/>
                <w:sz w:val="20"/>
                <w:szCs w:val="20"/>
              </w:rPr>
            </w:pPr>
            <w:r>
              <w:rPr>
                <w:rFonts w:ascii="Century Schoolbook" w:hAnsi="Century Schoolbook"/>
                <w:sz w:val="20"/>
                <w:szCs w:val="20"/>
              </w:rPr>
              <w:t>Section 24.1, Amendments:  Ensures that any amendment of the Agreement will be in writing (no verbal amendments) and agreed to by both parties, unless the contract specifically allows for a provision to be unilaterally amended.</w:t>
            </w:r>
          </w:p>
        </w:tc>
        <w:tc>
          <w:tcPr>
            <w:tcW w:w="5310" w:type="dxa"/>
          </w:tcPr>
          <w:p w14:paraId="56EEE71A" w14:textId="094B55D3" w:rsidR="008226ED" w:rsidRPr="000F0FBC" w:rsidRDefault="008226ED" w:rsidP="00000B4D">
            <w:pPr>
              <w:rPr>
                <w:rFonts w:ascii="Century Schoolbook" w:hAnsi="Century Schoolbook"/>
                <w:sz w:val="20"/>
                <w:szCs w:val="20"/>
              </w:rPr>
            </w:pPr>
            <w:r>
              <w:rPr>
                <w:rFonts w:ascii="Century Schoolbook" w:hAnsi="Century Schoolbook"/>
                <w:sz w:val="20"/>
                <w:szCs w:val="20"/>
              </w:rPr>
              <w:t xml:space="preserve">Section 21.1, Amendments:  BPA is adding a sentence stating that upon customer request and to the extent practicable, BPA will afford the customer a reasonably opportunity to review unilateral revisions prior to making such unilateral revisions. </w:t>
            </w:r>
          </w:p>
        </w:tc>
      </w:tr>
      <w:tr w:rsidR="008226ED" w:rsidRPr="000F0FBC" w14:paraId="5724A620" w14:textId="77777777" w:rsidTr="00801E11">
        <w:trPr>
          <w:cantSplit/>
          <w:trHeight w:val="60"/>
        </w:trPr>
        <w:tc>
          <w:tcPr>
            <w:tcW w:w="1800" w:type="dxa"/>
            <w:vMerge/>
          </w:tcPr>
          <w:p w14:paraId="336D4947" w14:textId="77777777" w:rsidR="008226ED" w:rsidRDefault="008226ED" w:rsidP="00000B4D">
            <w:pPr>
              <w:rPr>
                <w:rFonts w:ascii="Century Schoolbook" w:hAnsi="Century Schoolbook"/>
                <w:sz w:val="20"/>
                <w:szCs w:val="20"/>
              </w:rPr>
            </w:pPr>
          </w:p>
        </w:tc>
        <w:tc>
          <w:tcPr>
            <w:tcW w:w="1800" w:type="dxa"/>
            <w:vMerge/>
          </w:tcPr>
          <w:p w14:paraId="02A104F5" w14:textId="77777777" w:rsidR="008226ED" w:rsidRDefault="008226ED" w:rsidP="00000B4D">
            <w:pPr>
              <w:rPr>
                <w:rFonts w:ascii="Century Schoolbook" w:hAnsi="Century Schoolbook"/>
                <w:sz w:val="20"/>
                <w:szCs w:val="20"/>
              </w:rPr>
            </w:pPr>
          </w:p>
        </w:tc>
        <w:tc>
          <w:tcPr>
            <w:tcW w:w="5760" w:type="dxa"/>
          </w:tcPr>
          <w:p w14:paraId="7647EE83" w14:textId="2A283959" w:rsidR="008226ED" w:rsidRPr="000F0FBC" w:rsidRDefault="008226ED" w:rsidP="00000B4D">
            <w:pPr>
              <w:rPr>
                <w:rFonts w:ascii="Century Schoolbook" w:hAnsi="Century Schoolbook"/>
                <w:sz w:val="20"/>
                <w:szCs w:val="20"/>
              </w:rPr>
            </w:pPr>
            <w:r>
              <w:rPr>
                <w:rFonts w:ascii="Century Schoolbook" w:hAnsi="Century Schoolbook"/>
                <w:sz w:val="20"/>
                <w:szCs w:val="20"/>
              </w:rPr>
              <w:t>Section 24.2, Entire Agreement and Order of Precedence:  The Agreement, including documents incorporated by reference (such as the Northwest Power Act and the BPA Refinancing Act), constitute the entire agreement.  If there is a conflict between something stated in the body of the Agreement and an exhibit, what is stated in the body prevails over the exhibit.</w:t>
            </w:r>
          </w:p>
        </w:tc>
        <w:tc>
          <w:tcPr>
            <w:tcW w:w="5310" w:type="dxa"/>
          </w:tcPr>
          <w:p w14:paraId="40960AAF" w14:textId="7EE542BC" w:rsidR="008226ED" w:rsidRPr="000F0FBC" w:rsidRDefault="008226ED" w:rsidP="00000B4D">
            <w:pPr>
              <w:rPr>
                <w:rFonts w:ascii="Century Schoolbook" w:hAnsi="Century Schoolbook"/>
                <w:sz w:val="20"/>
                <w:szCs w:val="20"/>
              </w:rPr>
            </w:pPr>
            <w:r>
              <w:rPr>
                <w:rFonts w:ascii="Century Schoolbook" w:hAnsi="Century Schoolbook"/>
                <w:sz w:val="20"/>
                <w:szCs w:val="20"/>
              </w:rPr>
              <w:t>Section 21.2, Entire Agreement and Order of Precedence:  No changes.</w:t>
            </w:r>
          </w:p>
        </w:tc>
      </w:tr>
      <w:tr w:rsidR="008226ED" w:rsidRPr="000F0FBC" w14:paraId="06206F3A" w14:textId="77777777" w:rsidTr="00801E11">
        <w:trPr>
          <w:cantSplit/>
          <w:trHeight w:val="60"/>
        </w:trPr>
        <w:tc>
          <w:tcPr>
            <w:tcW w:w="1800" w:type="dxa"/>
            <w:vMerge/>
          </w:tcPr>
          <w:p w14:paraId="34060F90" w14:textId="77777777" w:rsidR="008226ED" w:rsidRDefault="008226ED" w:rsidP="00000B4D">
            <w:pPr>
              <w:rPr>
                <w:rFonts w:ascii="Century Schoolbook" w:hAnsi="Century Schoolbook"/>
                <w:sz w:val="20"/>
                <w:szCs w:val="20"/>
              </w:rPr>
            </w:pPr>
          </w:p>
        </w:tc>
        <w:tc>
          <w:tcPr>
            <w:tcW w:w="1800" w:type="dxa"/>
            <w:vMerge/>
          </w:tcPr>
          <w:p w14:paraId="678FDD67" w14:textId="77777777" w:rsidR="008226ED" w:rsidRDefault="008226ED" w:rsidP="00000B4D">
            <w:pPr>
              <w:rPr>
                <w:rFonts w:ascii="Century Schoolbook" w:hAnsi="Century Schoolbook"/>
                <w:sz w:val="20"/>
                <w:szCs w:val="20"/>
              </w:rPr>
            </w:pPr>
          </w:p>
        </w:tc>
        <w:tc>
          <w:tcPr>
            <w:tcW w:w="5760" w:type="dxa"/>
          </w:tcPr>
          <w:p w14:paraId="152DAD4F" w14:textId="6A5B4838" w:rsidR="008226ED" w:rsidRPr="000F0FBC" w:rsidRDefault="008226ED" w:rsidP="00000B4D">
            <w:pPr>
              <w:rPr>
                <w:rFonts w:ascii="Century Schoolbook" w:hAnsi="Century Schoolbook"/>
                <w:sz w:val="20"/>
                <w:szCs w:val="20"/>
              </w:rPr>
            </w:pPr>
            <w:r>
              <w:rPr>
                <w:rFonts w:ascii="Century Schoolbook" w:hAnsi="Century Schoolbook"/>
                <w:sz w:val="20"/>
                <w:szCs w:val="20"/>
              </w:rPr>
              <w:t>Section 24.3, Assignment:  Allows for the assignment of the contract and ensures that the contractual obligations would still be met after assignment.  Outlines limitations under which BPA could reasonably withhold its consent to an assignment.  T</w:t>
            </w:r>
            <w:r w:rsidRPr="00FE3F03">
              <w:rPr>
                <w:rFonts w:ascii="Century Schoolbook" w:hAnsi="Century Schoolbook"/>
                <w:sz w:val="20"/>
                <w:szCs w:val="20"/>
              </w:rPr>
              <w:t xml:space="preserve">here </w:t>
            </w:r>
            <w:r>
              <w:rPr>
                <w:rFonts w:ascii="Century Schoolbook" w:hAnsi="Century Schoolbook"/>
                <w:sz w:val="20"/>
                <w:szCs w:val="20"/>
              </w:rPr>
              <w:t>were</w:t>
            </w:r>
            <w:r w:rsidRPr="00FE3F03">
              <w:rPr>
                <w:rFonts w:ascii="Century Schoolbook" w:hAnsi="Century Schoolbook"/>
                <w:sz w:val="20"/>
                <w:szCs w:val="20"/>
              </w:rPr>
              <w:t xml:space="preserve"> two versions of this clause because </w:t>
            </w:r>
            <w:r>
              <w:rPr>
                <w:rFonts w:ascii="Century Schoolbook" w:hAnsi="Century Schoolbook"/>
                <w:sz w:val="20"/>
                <w:szCs w:val="20"/>
              </w:rPr>
              <w:t xml:space="preserve">cooperative </w:t>
            </w:r>
            <w:r w:rsidRPr="00FE3F03">
              <w:rPr>
                <w:rFonts w:ascii="Century Schoolbook" w:hAnsi="Century Schoolbook"/>
                <w:sz w:val="20"/>
                <w:szCs w:val="20"/>
              </w:rPr>
              <w:t>customers who obtain</w:t>
            </w:r>
            <w:r>
              <w:rPr>
                <w:rFonts w:ascii="Century Schoolbook" w:hAnsi="Century Schoolbook"/>
                <w:sz w:val="20"/>
                <w:szCs w:val="20"/>
              </w:rPr>
              <w:t>ed</w:t>
            </w:r>
            <w:r w:rsidRPr="00FE3F03">
              <w:rPr>
                <w:rFonts w:ascii="Century Schoolbook" w:hAnsi="Century Schoolbook"/>
                <w:sz w:val="20"/>
                <w:szCs w:val="20"/>
              </w:rPr>
              <w:t xml:space="preserve"> financing through the Rural Utility Service must </w:t>
            </w:r>
            <w:r>
              <w:rPr>
                <w:rFonts w:ascii="Century Schoolbook" w:hAnsi="Century Schoolbook"/>
                <w:sz w:val="20"/>
                <w:szCs w:val="20"/>
              </w:rPr>
              <w:t xml:space="preserve">have </w:t>
            </w:r>
            <w:r w:rsidRPr="00FE3F03">
              <w:rPr>
                <w:rFonts w:ascii="Century Schoolbook" w:hAnsi="Century Schoolbook"/>
                <w:sz w:val="20"/>
                <w:szCs w:val="20"/>
              </w:rPr>
              <w:t>also obtain</w:t>
            </w:r>
            <w:r>
              <w:rPr>
                <w:rFonts w:ascii="Century Schoolbook" w:hAnsi="Century Schoolbook"/>
                <w:sz w:val="20"/>
                <w:szCs w:val="20"/>
              </w:rPr>
              <w:t>ed</w:t>
            </w:r>
            <w:r w:rsidRPr="00FE3F03">
              <w:rPr>
                <w:rFonts w:ascii="Century Schoolbook" w:hAnsi="Century Schoolbook"/>
                <w:sz w:val="20"/>
                <w:szCs w:val="20"/>
              </w:rPr>
              <w:t xml:space="preserve"> </w:t>
            </w:r>
            <w:smartTag w:uri="urn:schemas-microsoft-com:office:smarttags" w:element="stockticker">
              <w:r w:rsidRPr="00FE3F03">
                <w:rPr>
                  <w:rFonts w:ascii="Century Schoolbook" w:hAnsi="Century Schoolbook"/>
                  <w:sz w:val="20"/>
                  <w:szCs w:val="20"/>
                </w:rPr>
                <w:t>RUS</w:t>
              </w:r>
            </w:smartTag>
            <w:r w:rsidRPr="00FE3F03">
              <w:rPr>
                <w:rFonts w:ascii="Century Schoolbook" w:hAnsi="Century Schoolbook"/>
                <w:sz w:val="20"/>
                <w:szCs w:val="20"/>
              </w:rPr>
              <w:t xml:space="preserve"> approval before they </w:t>
            </w:r>
            <w:r>
              <w:rPr>
                <w:rFonts w:ascii="Century Schoolbook" w:hAnsi="Century Schoolbook"/>
                <w:sz w:val="20"/>
                <w:szCs w:val="20"/>
              </w:rPr>
              <w:t>could</w:t>
            </w:r>
            <w:r w:rsidRPr="00FE3F03">
              <w:rPr>
                <w:rFonts w:ascii="Century Schoolbook" w:hAnsi="Century Schoolbook"/>
                <w:sz w:val="20"/>
                <w:szCs w:val="20"/>
              </w:rPr>
              <w:t xml:space="preserve"> assign the contract to another entity</w:t>
            </w:r>
            <w:r>
              <w:rPr>
                <w:rFonts w:ascii="Century Schoolbook" w:hAnsi="Century Schoolbook"/>
                <w:sz w:val="20"/>
                <w:szCs w:val="20"/>
              </w:rPr>
              <w:t>.</w:t>
            </w:r>
          </w:p>
        </w:tc>
        <w:tc>
          <w:tcPr>
            <w:tcW w:w="5310" w:type="dxa"/>
          </w:tcPr>
          <w:p w14:paraId="145E70F7" w14:textId="3C3E297F" w:rsidR="008226ED" w:rsidRPr="000F0FBC" w:rsidRDefault="008226ED" w:rsidP="00000B4D">
            <w:pPr>
              <w:rPr>
                <w:rFonts w:ascii="Century Schoolbook" w:hAnsi="Century Schoolbook"/>
                <w:sz w:val="20"/>
                <w:szCs w:val="20"/>
              </w:rPr>
            </w:pPr>
            <w:r>
              <w:rPr>
                <w:rFonts w:ascii="Century Schoolbook" w:hAnsi="Century Schoolbook"/>
                <w:sz w:val="20"/>
                <w:szCs w:val="20"/>
              </w:rPr>
              <w:t>Section 21.3, Assignment:  Deleted a repetitive sentence.</w:t>
            </w:r>
          </w:p>
        </w:tc>
      </w:tr>
      <w:tr w:rsidR="008226ED" w:rsidRPr="000F0FBC" w14:paraId="32EA6410" w14:textId="77777777" w:rsidTr="00801E11">
        <w:trPr>
          <w:cantSplit/>
          <w:trHeight w:val="60"/>
        </w:trPr>
        <w:tc>
          <w:tcPr>
            <w:tcW w:w="1800" w:type="dxa"/>
            <w:vMerge/>
          </w:tcPr>
          <w:p w14:paraId="2557C017" w14:textId="77777777" w:rsidR="008226ED" w:rsidRDefault="008226ED" w:rsidP="00000B4D">
            <w:pPr>
              <w:rPr>
                <w:rFonts w:ascii="Century Schoolbook" w:hAnsi="Century Schoolbook"/>
                <w:sz w:val="20"/>
                <w:szCs w:val="20"/>
              </w:rPr>
            </w:pPr>
          </w:p>
        </w:tc>
        <w:tc>
          <w:tcPr>
            <w:tcW w:w="1800" w:type="dxa"/>
            <w:vMerge/>
          </w:tcPr>
          <w:p w14:paraId="3270F8CA" w14:textId="77777777" w:rsidR="008226ED" w:rsidRDefault="008226ED" w:rsidP="00000B4D">
            <w:pPr>
              <w:rPr>
                <w:rFonts w:ascii="Century Schoolbook" w:hAnsi="Century Schoolbook"/>
                <w:sz w:val="20"/>
                <w:szCs w:val="20"/>
              </w:rPr>
            </w:pPr>
          </w:p>
        </w:tc>
        <w:tc>
          <w:tcPr>
            <w:tcW w:w="5760" w:type="dxa"/>
          </w:tcPr>
          <w:p w14:paraId="33052D55" w14:textId="3BEBF008" w:rsidR="008226ED" w:rsidRPr="000F0FBC" w:rsidRDefault="008226ED" w:rsidP="00000B4D">
            <w:pPr>
              <w:rPr>
                <w:rFonts w:ascii="Century Schoolbook" w:hAnsi="Century Schoolbook"/>
                <w:sz w:val="20"/>
                <w:szCs w:val="20"/>
              </w:rPr>
            </w:pPr>
            <w:r>
              <w:rPr>
                <w:rFonts w:ascii="Century Schoolbook" w:hAnsi="Century Schoolbook"/>
                <w:sz w:val="20"/>
                <w:szCs w:val="20"/>
              </w:rPr>
              <w:t>Section 24.4, No Third-Party Beneficiaries:  T</w:t>
            </w:r>
            <w:r w:rsidRPr="00FE3F03">
              <w:rPr>
                <w:rFonts w:ascii="Century Schoolbook" w:hAnsi="Century Schoolbook"/>
                <w:sz w:val="20"/>
                <w:szCs w:val="20"/>
              </w:rPr>
              <w:t xml:space="preserve">he only legal beneficiaries under </w:t>
            </w:r>
            <w:r>
              <w:rPr>
                <w:rFonts w:ascii="Century Schoolbook" w:hAnsi="Century Schoolbook"/>
                <w:sz w:val="20"/>
                <w:szCs w:val="20"/>
              </w:rPr>
              <w:t>the RD</w:t>
            </w:r>
            <w:r w:rsidRPr="00FE3F03">
              <w:rPr>
                <w:rFonts w:ascii="Century Schoolbook" w:hAnsi="Century Schoolbook"/>
                <w:sz w:val="20"/>
                <w:szCs w:val="20"/>
              </w:rPr>
              <w:t xml:space="preserve"> contract are BPA and the </w:t>
            </w:r>
            <w:r>
              <w:rPr>
                <w:rFonts w:ascii="Century Schoolbook" w:hAnsi="Century Schoolbook"/>
                <w:sz w:val="20"/>
                <w:szCs w:val="20"/>
              </w:rPr>
              <w:t>c</w:t>
            </w:r>
            <w:r w:rsidRPr="00FE3F03">
              <w:rPr>
                <w:rFonts w:ascii="Century Schoolbook" w:hAnsi="Century Schoolbook"/>
                <w:sz w:val="20"/>
                <w:szCs w:val="20"/>
              </w:rPr>
              <w:t>ustomer.</w:t>
            </w:r>
            <w:r>
              <w:rPr>
                <w:rFonts w:ascii="Century Schoolbook" w:hAnsi="Century Schoolbook"/>
                <w:sz w:val="20"/>
                <w:szCs w:val="20"/>
              </w:rPr>
              <w:t xml:space="preserve">  End-users do not have standing under the Agreement and are not beneficiaries.</w:t>
            </w:r>
          </w:p>
        </w:tc>
        <w:tc>
          <w:tcPr>
            <w:tcW w:w="5310" w:type="dxa"/>
          </w:tcPr>
          <w:p w14:paraId="68A8E873" w14:textId="37CAC913" w:rsidR="008226ED" w:rsidRPr="000F0FBC" w:rsidRDefault="008226ED" w:rsidP="00000B4D">
            <w:pPr>
              <w:rPr>
                <w:rFonts w:ascii="Century Schoolbook" w:hAnsi="Century Schoolbook"/>
                <w:sz w:val="20"/>
                <w:szCs w:val="20"/>
              </w:rPr>
            </w:pPr>
            <w:r>
              <w:rPr>
                <w:rFonts w:ascii="Century Schoolbook" w:hAnsi="Century Schoolbook"/>
                <w:sz w:val="20"/>
                <w:szCs w:val="20"/>
              </w:rPr>
              <w:t>Section 21.4, No Third-Party Beneficiaries:  No changes.</w:t>
            </w:r>
          </w:p>
        </w:tc>
      </w:tr>
      <w:tr w:rsidR="008226ED" w:rsidRPr="000F0FBC" w14:paraId="2ED3223C" w14:textId="77777777" w:rsidTr="00801E11">
        <w:trPr>
          <w:cantSplit/>
          <w:trHeight w:val="60"/>
        </w:trPr>
        <w:tc>
          <w:tcPr>
            <w:tcW w:w="1800" w:type="dxa"/>
            <w:vMerge/>
          </w:tcPr>
          <w:p w14:paraId="650D7CF2" w14:textId="77777777" w:rsidR="008226ED" w:rsidRDefault="008226ED" w:rsidP="00000B4D">
            <w:pPr>
              <w:rPr>
                <w:rFonts w:ascii="Century Schoolbook" w:hAnsi="Century Schoolbook"/>
                <w:sz w:val="20"/>
                <w:szCs w:val="20"/>
              </w:rPr>
            </w:pPr>
          </w:p>
        </w:tc>
        <w:tc>
          <w:tcPr>
            <w:tcW w:w="1800" w:type="dxa"/>
            <w:vMerge/>
          </w:tcPr>
          <w:p w14:paraId="517F4686" w14:textId="77777777" w:rsidR="008226ED" w:rsidRDefault="008226ED" w:rsidP="00000B4D">
            <w:pPr>
              <w:rPr>
                <w:rFonts w:ascii="Century Schoolbook" w:hAnsi="Century Schoolbook"/>
                <w:sz w:val="20"/>
                <w:szCs w:val="20"/>
              </w:rPr>
            </w:pPr>
          </w:p>
        </w:tc>
        <w:tc>
          <w:tcPr>
            <w:tcW w:w="5760" w:type="dxa"/>
          </w:tcPr>
          <w:p w14:paraId="1AC17120" w14:textId="0158F8F7" w:rsidR="008226ED" w:rsidRPr="000F0FBC" w:rsidRDefault="008226ED" w:rsidP="00000B4D">
            <w:pPr>
              <w:rPr>
                <w:rFonts w:ascii="Century Schoolbook" w:hAnsi="Century Schoolbook"/>
                <w:sz w:val="20"/>
                <w:szCs w:val="20"/>
              </w:rPr>
            </w:pPr>
            <w:r>
              <w:rPr>
                <w:rFonts w:ascii="Century Schoolbook" w:hAnsi="Century Schoolbook"/>
                <w:sz w:val="20"/>
                <w:szCs w:val="20"/>
              </w:rPr>
              <w:t>Section 24.5, Waivers:  Waivers must be in writing and signed by the waiving party.  Waivers are non-precedential and do not imply or cause a waiver of any other provision of the agreement than the one being waived.</w:t>
            </w:r>
          </w:p>
        </w:tc>
        <w:tc>
          <w:tcPr>
            <w:tcW w:w="5310" w:type="dxa"/>
          </w:tcPr>
          <w:p w14:paraId="0A1DA86D" w14:textId="7990B2DE" w:rsidR="008226ED" w:rsidRPr="000F0FBC" w:rsidRDefault="008226ED" w:rsidP="00000B4D">
            <w:pPr>
              <w:rPr>
                <w:rFonts w:ascii="Century Schoolbook" w:hAnsi="Century Schoolbook"/>
                <w:sz w:val="20"/>
                <w:szCs w:val="20"/>
              </w:rPr>
            </w:pPr>
            <w:r>
              <w:rPr>
                <w:rFonts w:ascii="Century Schoolbook" w:hAnsi="Century Schoolbook"/>
                <w:sz w:val="20"/>
                <w:szCs w:val="20"/>
              </w:rPr>
              <w:t>Section 21.5, Waivers:  No changes.</w:t>
            </w:r>
          </w:p>
        </w:tc>
      </w:tr>
      <w:tr w:rsidR="008226ED" w:rsidRPr="000F0FBC" w14:paraId="453D64F3" w14:textId="77777777" w:rsidTr="00801E11">
        <w:trPr>
          <w:cantSplit/>
          <w:trHeight w:val="60"/>
        </w:trPr>
        <w:tc>
          <w:tcPr>
            <w:tcW w:w="1800" w:type="dxa"/>
            <w:vMerge/>
          </w:tcPr>
          <w:p w14:paraId="74D519F5" w14:textId="77777777" w:rsidR="008226ED" w:rsidRDefault="008226ED" w:rsidP="00000B4D">
            <w:pPr>
              <w:rPr>
                <w:rFonts w:ascii="Century Schoolbook" w:hAnsi="Century Schoolbook"/>
                <w:sz w:val="20"/>
                <w:szCs w:val="20"/>
              </w:rPr>
            </w:pPr>
          </w:p>
        </w:tc>
        <w:tc>
          <w:tcPr>
            <w:tcW w:w="1800" w:type="dxa"/>
            <w:vMerge/>
          </w:tcPr>
          <w:p w14:paraId="2E51B4C1" w14:textId="77777777" w:rsidR="008226ED" w:rsidRDefault="008226ED" w:rsidP="00000B4D">
            <w:pPr>
              <w:rPr>
                <w:rFonts w:ascii="Century Schoolbook" w:hAnsi="Century Schoolbook"/>
                <w:sz w:val="20"/>
                <w:szCs w:val="20"/>
              </w:rPr>
            </w:pPr>
          </w:p>
        </w:tc>
        <w:tc>
          <w:tcPr>
            <w:tcW w:w="5760" w:type="dxa"/>
          </w:tcPr>
          <w:p w14:paraId="0F90278F" w14:textId="4AE38D0C" w:rsidR="008226ED" w:rsidRPr="000F0FBC" w:rsidRDefault="008226ED" w:rsidP="00000B4D">
            <w:pPr>
              <w:rPr>
                <w:rFonts w:ascii="Century Schoolbook" w:hAnsi="Century Schoolbook"/>
                <w:sz w:val="20"/>
                <w:szCs w:val="20"/>
              </w:rPr>
            </w:pPr>
            <w:r>
              <w:rPr>
                <w:rFonts w:ascii="Century Schoolbook" w:hAnsi="Century Schoolbook"/>
                <w:sz w:val="20"/>
                <w:szCs w:val="20"/>
              </w:rPr>
              <w:t>Section 24.6, BPA Policies: References</w:t>
            </w:r>
            <w:r w:rsidRPr="003A54F8">
              <w:rPr>
                <w:rFonts w:ascii="Century Schoolbook" w:hAnsi="Century Schoolbook"/>
                <w:sz w:val="20"/>
                <w:szCs w:val="20"/>
              </w:rPr>
              <w:t xml:space="preserve"> in the RD contract to BPA policies do not mean that the customer either agreed with those policies or waived its rights to challenge the legality of those policies.</w:t>
            </w:r>
          </w:p>
        </w:tc>
        <w:tc>
          <w:tcPr>
            <w:tcW w:w="5310" w:type="dxa"/>
          </w:tcPr>
          <w:p w14:paraId="284A4B74" w14:textId="3F2AEE1A" w:rsidR="008226ED" w:rsidRPr="000F0FBC" w:rsidRDefault="008226ED" w:rsidP="00000B4D">
            <w:pPr>
              <w:rPr>
                <w:rFonts w:ascii="Century Schoolbook" w:hAnsi="Century Schoolbook"/>
                <w:sz w:val="20"/>
                <w:szCs w:val="20"/>
              </w:rPr>
            </w:pPr>
            <w:r>
              <w:rPr>
                <w:rFonts w:ascii="Century Schoolbook" w:hAnsi="Century Schoolbook"/>
                <w:sz w:val="20"/>
                <w:szCs w:val="20"/>
              </w:rPr>
              <w:t>Section 21.6, BPA Policies:  No changes.</w:t>
            </w:r>
          </w:p>
        </w:tc>
      </w:tr>
      <w:tr w:rsidR="008226ED" w:rsidRPr="000F0FBC" w14:paraId="49C04CE2" w14:textId="77777777" w:rsidTr="00801E11">
        <w:trPr>
          <w:cantSplit/>
          <w:trHeight w:val="60"/>
        </w:trPr>
        <w:tc>
          <w:tcPr>
            <w:tcW w:w="1800" w:type="dxa"/>
            <w:vMerge/>
          </w:tcPr>
          <w:p w14:paraId="5F56A6E0" w14:textId="77777777" w:rsidR="008226ED" w:rsidRDefault="008226ED" w:rsidP="00000B4D">
            <w:pPr>
              <w:rPr>
                <w:rFonts w:ascii="Century Schoolbook" w:hAnsi="Century Schoolbook"/>
                <w:sz w:val="20"/>
                <w:szCs w:val="20"/>
              </w:rPr>
            </w:pPr>
          </w:p>
        </w:tc>
        <w:tc>
          <w:tcPr>
            <w:tcW w:w="1800" w:type="dxa"/>
            <w:vMerge/>
          </w:tcPr>
          <w:p w14:paraId="1A4CCF19" w14:textId="77777777" w:rsidR="008226ED" w:rsidRDefault="008226ED" w:rsidP="00000B4D">
            <w:pPr>
              <w:rPr>
                <w:rFonts w:ascii="Century Schoolbook" w:hAnsi="Century Schoolbook"/>
                <w:sz w:val="20"/>
                <w:szCs w:val="20"/>
              </w:rPr>
            </w:pPr>
          </w:p>
        </w:tc>
        <w:tc>
          <w:tcPr>
            <w:tcW w:w="5760" w:type="dxa"/>
          </w:tcPr>
          <w:p w14:paraId="0FB19EE4" w14:textId="418C2319" w:rsidR="008226ED" w:rsidRPr="000F0FBC" w:rsidRDefault="008226ED" w:rsidP="009666CB">
            <w:pPr>
              <w:rPr>
                <w:rFonts w:ascii="Century Schoolbook" w:hAnsi="Century Schoolbook"/>
                <w:sz w:val="20"/>
                <w:szCs w:val="20"/>
              </w:rPr>
            </w:pPr>
            <w:r>
              <w:rPr>
                <w:rFonts w:ascii="Century Schoolbook" w:hAnsi="Century Schoolbook"/>
                <w:sz w:val="20"/>
                <w:szCs w:val="20"/>
              </w:rPr>
              <w:t>Section 24,7, Rate Covenant and Payment Assurance:  R</w:t>
            </w:r>
            <w:r w:rsidRPr="009666CB">
              <w:rPr>
                <w:rFonts w:ascii="Century Schoolbook" w:hAnsi="Century Schoolbook"/>
                <w:sz w:val="20"/>
                <w:szCs w:val="20"/>
              </w:rPr>
              <w:t>equire</w:t>
            </w:r>
            <w:r>
              <w:rPr>
                <w:rFonts w:ascii="Century Schoolbook" w:hAnsi="Century Schoolbook"/>
                <w:sz w:val="20"/>
                <w:szCs w:val="20"/>
              </w:rPr>
              <w:t>s</w:t>
            </w:r>
            <w:r w:rsidRPr="009666CB">
              <w:rPr>
                <w:rFonts w:ascii="Century Schoolbook" w:hAnsi="Century Schoolbook"/>
                <w:sz w:val="20"/>
                <w:szCs w:val="20"/>
              </w:rPr>
              <w:t xml:space="preserve"> the customer </w:t>
            </w:r>
            <w:r>
              <w:rPr>
                <w:rFonts w:ascii="Century Schoolbook" w:hAnsi="Century Schoolbook"/>
                <w:sz w:val="20"/>
                <w:szCs w:val="20"/>
              </w:rPr>
              <w:t>to</w:t>
            </w:r>
            <w:r w:rsidRPr="009666CB">
              <w:rPr>
                <w:rFonts w:ascii="Century Schoolbook" w:hAnsi="Century Schoolbook"/>
                <w:sz w:val="20"/>
                <w:szCs w:val="20"/>
              </w:rPr>
              <w:t xml:space="preserve"> set its rates high enough to make the payments required under the RD contract.  The provision allow</w:t>
            </w:r>
            <w:r>
              <w:rPr>
                <w:rFonts w:ascii="Century Schoolbook" w:hAnsi="Century Schoolbook"/>
                <w:sz w:val="20"/>
                <w:szCs w:val="20"/>
              </w:rPr>
              <w:t>s</w:t>
            </w:r>
            <w:r w:rsidRPr="009666CB">
              <w:rPr>
                <w:rFonts w:ascii="Century Schoolbook" w:hAnsi="Century Schoolbook"/>
                <w:sz w:val="20"/>
                <w:szCs w:val="20"/>
              </w:rPr>
              <w:t xml:space="preserve"> BPA to require payment assurance, such as a letter of credit, if it determine</w:t>
            </w:r>
            <w:r>
              <w:rPr>
                <w:rFonts w:ascii="Century Schoolbook" w:hAnsi="Century Schoolbook"/>
                <w:sz w:val="20"/>
                <w:szCs w:val="20"/>
              </w:rPr>
              <w:t>s</w:t>
            </w:r>
            <w:r w:rsidRPr="009666CB">
              <w:rPr>
                <w:rFonts w:ascii="Century Schoolbook" w:hAnsi="Century Schoolbook"/>
                <w:sz w:val="20"/>
                <w:szCs w:val="20"/>
              </w:rPr>
              <w:t xml:space="preserve"> the customer may not be able to pay its bills.</w:t>
            </w:r>
            <w:r w:rsidRPr="003A54F8">
              <w:t xml:space="preserve"> </w:t>
            </w:r>
          </w:p>
        </w:tc>
        <w:tc>
          <w:tcPr>
            <w:tcW w:w="5310" w:type="dxa"/>
          </w:tcPr>
          <w:p w14:paraId="2C295C22" w14:textId="7F977DB8" w:rsidR="008226ED" w:rsidRPr="000F0FBC" w:rsidRDefault="008226ED" w:rsidP="00000B4D">
            <w:pPr>
              <w:rPr>
                <w:rFonts w:ascii="Century Schoolbook" w:hAnsi="Century Schoolbook"/>
                <w:sz w:val="20"/>
                <w:szCs w:val="20"/>
              </w:rPr>
            </w:pPr>
            <w:r>
              <w:rPr>
                <w:rFonts w:ascii="Century Schoolbook" w:hAnsi="Century Schoolbook"/>
                <w:sz w:val="20"/>
                <w:szCs w:val="20"/>
              </w:rPr>
              <w:t>Section 21.7, Rate Covenant and Payment Assurance:  One section reference change from RD section 20, Notices and Contact Information to POC Exhibit I, Notices and Contact Information.</w:t>
            </w:r>
          </w:p>
        </w:tc>
      </w:tr>
      <w:tr w:rsidR="008226ED" w:rsidRPr="000F0FBC" w14:paraId="683678A1" w14:textId="77777777" w:rsidTr="008226ED">
        <w:trPr>
          <w:cantSplit/>
          <w:trHeight w:val="1320"/>
        </w:trPr>
        <w:tc>
          <w:tcPr>
            <w:tcW w:w="1800" w:type="dxa"/>
            <w:vMerge/>
          </w:tcPr>
          <w:p w14:paraId="71524D58" w14:textId="77777777" w:rsidR="008226ED" w:rsidRDefault="008226ED" w:rsidP="00000B4D">
            <w:pPr>
              <w:rPr>
                <w:rFonts w:ascii="Century Schoolbook" w:hAnsi="Century Schoolbook"/>
                <w:sz w:val="20"/>
                <w:szCs w:val="20"/>
              </w:rPr>
            </w:pPr>
          </w:p>
        </w:tc>
        <w:tc>
          <w:tcPr>
            <w:tcW w:w="1800" w:type="dxa"/>
            <w:vMerge/>
          </w:tcPr>
          <w:p w14:paraId="7D6E219A" w14:textId="77777777" w:rsidR="008226ED" w:rsidRDefault="008226ED" w:rsidP="00000B4D">
            <w:pPr>
              <w:rPr>
                <w:rFonts w:ascii="Century Schoolbook" w:hAnsi="Century Schoolbook"/>
                <w:sz w:val="20"/>
                <w:szCs w:val="20"/>
              </w:rPr>
            </w:pPr>
          </w:p>
        </w:tc>
        <w:tc>
          <w:tcPr>
            <w:tcW w:w="5760" w:type="dxa"/>
          </w:tcPr>
          <w:p w14:paraId="7C4C8F56" w14:textId="74CDCBC9" w:rsidR="008226ED" w:rsidRPr="000F0FBC" w:rsidRDefault="008226ED" w:rsidP="00000B4D">
            <w:pPr>
              <w:rPr>
                <w:rFonts w:ascii="Century Schoolbook" w:hAnsi="Century Schoolbook"/>
                <w:sz w:val="20"/>
                <w:szCs w:val="20"/>
              </w:rPr>
            </w:pPr>
          </w:p>
        </w:tc>
        <w:tc>
          <w:tcPr>
            <w:tcW w:w="5310" w:type="dxa"/>
          </w:tcPr>
          <w:p w14:paraId="37CA5548" w14:textId="2ACAE2DF" w:rsidR="008226ED" w:rsidRPr="000F0FBC" w:rsidRDefault="008226ED" w:rsidP="00961889">
            <w:pPr>
              <w:rPr>
                <w:rFonts w:ascii="Century Schoolbook" w:hAnsi="Century Schoolbook"/>
                <w:sz w:val="20"/>
                <w:szCs w:val="20"/>
              </w:rPr>
            </w:pPr>
            <w:r>
              <w:rPr>
                <w:rFonts w:ascii="Century Schoolbook" w:hAnsi="Century Schoolbook"/>
                <w:sz w:val="20"/>
                <w:szCs w:val="20"/>
              </w:rPr>
              <w:t xml:space="preserve">Section 21.8, </w:t>
            </w:r>
            <w:r w:rsidRPr="008226ED">
              <w:rPr>
                <w:rFonts w:ascii="Century Schoolbook" w:hAnsi="Century Schoolbook"/>
                <w:sz w:val="20"/>
                <w:szCs w:val="20"/>
              </w:rPr>
              <w:t>Procedure in the Event of Federal Base System Resource Loss</w:t>
            </w:r>
            <w:r>
              <w:rPr>
                <w:rFonts w:ascii="Century Schoolbook" w:hAnsi="Century Schoolbook"/>
                <w:sz w:val="20"/>
                <w:szCs w:val="20"/>
              </w:rPr>
              <w:t xml:space="preserve">:  With this new provision, BPA </w:t>
            </w:r>
            <w:r w:rsidR="00866F9B">
              <w:rPr>
                <w:rFonts w:ascii="Century Schoolbook" w:hAnsi="Century Schoolbook"/>
                <w:sz w:val="20"/>
                <w:szCs w:val="20"/>
              </w:rPr>
              <w:t xml:space="preserve">outlines what actions it would take, and what criteria would need to be met, if BPA expected to lose major Federal Base System Resource(s).  If conditions are met, BPA </w:t>
            </w:r>
            <w:r>
              <w:rPr>
                <w:rFonts w:ascii="Century Schoolbook" w:hAnsi="Century Schoolbook"/>
                <w:sz w:val="20"/>
                <w:szCs w:val="20"/>
              </w:rPr>
              <w:t>commi</w:t>
            </w:r>
            <w:r w:rsidR="00866F9B">
              <w:rPr>
                <w:rFonts w:ascii="Century Schoolbook" w:hAnsi="Century Schoolbook"/>
                <w:sz w:val="20"/>
                <w:szCs w:val="20"/>
              </w:rPr>
              <w:t>ts to conduct a public process to discuss targeted policy and contract amendments.</w:t>
            </w:r>
          </w:p>
        </w:tc>
      </w:tr>
      <w:tr w:rsidR="008226ED" w:rsidRPr="000F0FBC" w14:paraId="45964753" w14:textId="77777777" w:rsidTr="008226ED">
        <w:trPr>
          <w:cantSplit/>
          <w:trHeight w:val="1320"/>
        </w:trPr>
        <w:tc>
          <w:tcPr>
            <w:tcW w:w="1800" w:type="dxa"/>
            <w:vMerge/>
          </w:tcPr>
          <w:p w14:paraId="34BEFA95" w14:textId="77777777" w:rsidR="008226ED" w:rsidRDefault="008226ED" w:rsidP="008226ED">
            <w:pPr>
              <w:rPr>
                <w:rFonts w:ascii="Century Schoolbook" w:hAnsi="Century Schoolbook"/>
                <w:sz w:val="20"/>
                <w:szCs w:val="20"/>
              </w:rPr>
            </w:pPr>
          </w:p>
        </w:tc>
        <w:tc>
          <w:tcPr>
            <w:tcW w:w="1800" w:type="dxa"/>
            <w:vMerge/>
          </w:tcPr>
          <w:p w14:paraId="1D9FFE19" w14:textId="77777777" w:rsidR="008226ED" w:rsidRDefault="008226ED" w:rsidP="008226ED">
            <w:pPr>
              <w:rPr>
                <w:rFonts w:ascii="Century Schoolbook" w:hAnsi="Century Schoolbook"/>
                <w:sz w:val="20"/>
                <w:szCs w:val="20"/>
              </w:rPr>
            </w:pPr>
          </w:p>
        </w:tc>
        <w:tc>
          <w:tcPr>
            <w:tcW w:w="5760" w:type="dxa"/>
          </w:tcPr>
          <w:p w14:paraId="675C0003" w14:textId="2FA717B2" w:rsidR="008226ED" w:rsidRDefault="008226ED" w:rsidP="008226ED">
            <w:pPr>
              <w:rPr>
                <w:rFonts w:ascii="Century Schoolbook" w:hAnsi="Century Schoolbook"/>
                <w:sz w:val="20"/>
                <w:szCs w:val="20"/>
              </w:rPr>
            </w:pPr>
            <w:r>
              <w:rPr>
                <w:rFonts w:ascii="Century Schoolbook" w:hAnsi="Century Schoolbook"/>
                <w:sz w:val="20"/>
                <w:szCs w:val="20"/>
              </w:rPr>
              <w:t>Section 24.8, Bond Assurances:  This provision was only included in RD contracts of cooperatives and tribal utilities.  Under RD, BPA retained the right to adjust an impacted customer’s CHWM if it annexed load resulted in exceeding the established 2.8% threshold.</w:t>
            </w:r>
          </w:p>
        </w:tc>
        <w:tc>
          <w:tcPr>
            <w:tcW w:w="5310" w:type="dxa"/>
          </w:tcPr>
          <w:p w14:paraId="1DE3C200" w14:textId="0E3492E4" w:rsidR="008226ED" w:rsidRDefault="008226ED" w:rsidP="008226ED">
            <w:pPr>
              <w:rPr>
                <w:rFonts w:ascii="Century Schoolbook" w:hAnsi="Century Schoolbook"/>
                <w:sz w:val="20"/>
                <w:szCs w:val="20"/>
              </w:rPr>
            </w:pPr>
            <w:r>
              <w:rPr>
                <w:rFonts w:ascii="Century Schoolbook" w:hAnsi="Century Schoolbook"/>
                <w:sz w:val="20"/>
                <w:szCs w:val="20"/>
              </w:rPr>
              <w:t xml:space="preserve">Section 21.9, Bond Assurances: While this provision will still only be included in POC contracts of JOEs with cooperative members, cooperatives, and tribal utilities, BPA has developed a Load Following/Block version (including a sub-option for a JOE) and a Slice/Block version.  For POC, </w:t>
            </w:r>
            <w:r w:rsidRPr="00961889">
              <w:rPr>
                <w:rFonts w:ascii="Century Schoolbook" w:hAnsi="Century Schoolbook"/>
                <w:sz w:val="20"/>
                <w:szCs w:val="20"/>
              </w:rPr>
              <w:t xml:space="preserve">BPA is </w:t>
            </w:r>
            <w:r>
              <w:rPr>
                <w:rFonts w:ascii="Century Schoolbook" w:hAnsi="Century Schoolbook"/>
                <w:sz w:val="20"/>
                <w:szCs w:val="20"/>
              </w:rPr>
              <w:t>adding</w:t>
            </w:r>
            <w:r w:rsidRPr="00961889">
              <w:rPr>
                <w:rFonts w:ascii="Century Schoolbook" w:hAnsi="Century Schoolbook"/>
                <w:sz w:val="20"/>
                <w:szCs w:val="20"/>
              </w:rPr>
              <w:t xml:space="preserve"> changes </w:t>
            </w:r>
            <w:r>
              <w:rPr>
                <w:rFonts w:ascii="Century Schoolbook" w:hAnsi="Century Schoolbook"/>
                <w:sz w:val="20"/>
                <w:szCs w:val="20"/>
              </w:rPr>
              <w:t>that would</w:t>
            </w:r>
            <w:r w:rsidRPr="00961889">
              <w:rPr>
                <w:rFonts w:ascii="Century Schoolbook" w:hAnsi="Century Schoolbook"/>
                <w:sz w:val="20"/>
                <w:szCs w:val="20"/>
              </w:rPr>
              <w:t xml:space="preserve"> limit an applicable </w:t>
            </w:r>
            <w:r>
              <w:rPr>
                <w:rFonts w:ascii="Century Schoolbook" w:hAnsi="Century Schoolbook"/>
                <w:sz w:val="20"/>
                <w:szCs w:val="20"/>
              </w:rPr>
              <w:t>customer’s</w:t>
            </w:r>
            <w:r w:rsidRPr="00961889">
              <w:rPr>
                <w:rFonts w:ascii="Century Schoolbook" w:hAnsi="Century Schoolbook"/>
                <w:sz w:val="20"/>
                <w:szCs w:val="20"/>
              </w:rPr>
              <w:t xml:space="preserve"> Slice Percentage so that the Slice amount is equal to </w:t>
            </w:r>
            <w:r>
              <w:rPr>
                <w:rFonts w:ascii="Century Schoolbook" w:hAnsi="Century Schoolbook"/>
                <w:sz w:val="20"/>
                <w:szCs w:val="20"/>
              </w:rPr>
              <w:t>a de minimis</w:t>
            </w:r>
            <w:r w:rsidRPr="00961889">
              <w:rPr>
                <w:rFonts w:ascii="Century Schoolbook" w:hAnsi="Century Schoolbook"/>
                <w:sz w:val="20"/>
                <w:szCs w:val="20"/>
              </w:rPr>
              <w:t xml:space="preserve"> threshold amount. </w:t>
            </w:r>
            <w:r>
              <w:rPr>
                <w:rFonts w:ascii="Century Schoolbook" w:hAnsi="Century Schoolbook"/>
                <w:sz w:val="20"/>
                <w:szCs w:val="20"/>
              </w:rPr>
              <w:t xml:space="preserve"> </w:t>
            </w:r>
            <w:r w:rsidRPr="00961889">
              <w:rPr>
                <w:rFonts w:ascii="Century Schoolbook" w:hAnsi="Century Schoolbook"/>
                <w:sz w:val="20"/>
                <w:szCs w:val="20"/>
              </w:rPr>
              <w:t xml:space="preserve">This limit would be on top of the 50% Slice percentage limit in the Slice/Block product and would be an additional check done annually when Slice Percentages are calculated.  With this approach, BPA’s sale of the Slice/Block product should avoid a direct use of CGS above the de minimis threshold; however, BPA is including </w:t>
            </w:r>
            <w:r>
              <w:rPr>
                <w:rFonts w:ascii="Century Schoolbook" w:hAnsi="Century Schoolbook"/>
                <w:sz w:val="20"/>
                <w:szCs w:val="20"/>
              </w:rPr>
              <w:t>language</w:t>
            </w:r>
            <w:r w:rsidRPr="00961889">
              <w:rPr>
                <w:rFonts w:ascii="Century Schoolbook" w:hAnsi="Century Schoolbook"/>
                <w:sz w:val="20"/>
                <w:szCs w:val="20"/>
              </w:rPr>
              <w:t xml:space="preserve"> that states BPA would pass through any remediation costs should unforeseeable circumstances occur that would cause remedial action.</w:t>
            </w:r>
          </w:p>
        </w:tc>
      </w:tr>
      <w:tr w:rsidR="008226ED" w:rsidRPr="000F0FBC" w14:paraId="4F102C6C" w14:textId="77777777" w:rsidTr="00801E11">
        <w:trPr>
          <w:cantSplit/>
        </w:trPr>
        <w:tc>
          <w:tcPr>
            <w:tcW w:w="1800" w:type="dxa"/>
          </w:tcPr>
          <w:p w14:paraId="5D76CD0C" w14:textId="589872D1" w:rsidR="008226ED" w:rsidRDefault="008226ED" w:rsidP="008226ED">
            <w:pPr>
              <w:rPr>
                <w:rFonts w:ascii="Century Schoolbook" w:hAnsi="Century Schoolbook"/>
                <w:sz w:val="20"/>
                <w:szCs w:val="20"/>
              </w:rPr>
            </w:pPr>
            <w:r>
              <w:rPr>
                <w:rFonts w:ascii="Century Schoolbook" w:hAnsi="Century Schoolbook"/>
                <w:sz w:val="20"/>
                <w:szCs w:val="20"/>
              </w:rPr>
              <w:t>N/A</w:t>
            </w:r>
          </w:p>
        </w:tc>
        <w:tc>
          <w:tcPr>
            <w:tcW w:w="1800" w:type="dxa"/>
          </w:tcPr>
          <w:p w14:paraId="31A52A97" w14:textId="4CFDFEC2" w:rsidR="008226ED" w:rsidRPr="000F0FBC" w:rsidRDefault="008226ED" w:rsidP="008226ED">
            <w:pPr>
              <w:rPr>
                <w:rFonts w:ascii="Century Schoolbook" w:hAnsi="Century Schoolbook"/>
                <w:sz w:val="20"/>
                <w:szCs w:val="20"/>
              </w:rPr>
            </w:pPr>
            <w:r>
              <w:rPr>
                <w:rFonts w:ascii="Century Schoolbook" w:hAnsi="Century Schoolbook"/>
                <w:sz w:val="20"/>
                <w:szCs w:val="20"/>
              </w:rPr>
              <w:t>22. Future Amendment for Day-Ahead Market</w:t>
            </w:r>
          </w:p>
        </w:tc>
        <w:tc>
          <w:tcPr>
            <w:tcW w:w="5760" w:type="dxa"/>
          </w:tcPr>
          <w:p w14:paraId="285FA58B" w14:textId="1CA89376" w:rsidR="008226ED" w:rsidRPr="000F0FBC" w:rsidRDefault="008226ED" w:rsidP="008226ED">
            <w:pPr>
              <w:rPr>
                <w:rFonts w:ascii="Century Schoolbook" w:hAnsi="Century Schoolbook"/>
                <w:sz w:val="20"/>
                <w:szCs w:val="20"/>
              </w:rPr>
            </w:pPr>
            <w:r>
              <w:rPr>
                <w:rFonts w:ascii="Century Schoolbook" w:hAnsi="Century Schoolbook"/>
                <w:sz w:val="20"/>
                <w:szCs w:val="20"/>
              </w:rPr>
              <w:t>This provision was not in RD.</w:t>
            </w:r>
          </w:p>
        </w:tc>
        <w:tc>
          <w:tcPr>
            <w:tcW w:w="5310" w:type="dxa"/>
          </w:tcPr>
          <w:p w14:paraId="785E924B" w14:textId="13894937" w:rsidR="008226ED" w:rsidRPr="000F0FBC" w:rsidRDefault="008226ED" w:rsidP="008226ED">
            <w:pPr>
              <w:rPr>
                <w:rFonts w:ascii="Century Schoolbook" w:hAnsi="Century Schoolbook"/>
                <w:sz w:val="20"/>
                <w:szCs w:val="20"/>
              </w:rPr>
            </w:pPr>
            <w:r>
              <w:rPr>
                <w:rFonts w:ascii="Century Schoolbook" w:hAnsi="Century Schoolbook"/>
                <w:sz w:val="20"/>
                <w:szCs w:val="20"/>
              </w:rPr>
              <w:t xml:space="preserve">If BPA joins a day ahead market, </w:t>
            </w:r>
            <w:r w:rsidRPr="00683DB0">
              <w:rPr>
                <w:rFonts w:ascii="Century Schoolbook" w:hAnsi="Century Schoolbook"/>
                <w:sz w:val="20"/>
                <w:szCs w:val="20"/>
              </w:rPr>
              <w:t>BPA commits, with this new provision</w:t>
            </w:r>
            <w:r>
              <w:rPr>
                <w:rFonts w:ascii="Century Schoolbook" w:hAnsi="Century Schoolbook"/>
                <w:sz w:val="20"/>
                <w:szCs w:val="20"/>
              </w:rPr>
              <w:t>,</w:t>
            </w:r>
            <w:r w:rsidRPr="00683DB0">
              <w:rPr>
                <w:rFonts w:ascii="Century Schoolbook" w:hAnsi="Century Schoolbook"/>
                <w:sz w:val="20"/>
                <w:szCs w:val="20"/>
              </w:rPr>
              <w:t xml:space="preserve"> to</w:t>
            </w:r>
            <w:r>
              <w:rPr>
                <w:rFonts w:ascii="Century Schoolbook" w:hAnsi="Century Schoolbook"/>
                <w:sz w:val="20"/>
                <w:szCs w:val="20"/>
              </w:rPr>
              <w:t xml:space="preserve"> 1) </w:t>
            </w:r>
            <w:r w:rsidRPr="00683DB0">
              <w:rPr>
                <w:rFonts w:ascii="Century Schoolbook" w:hAnsi="Century Schoolbook"/>
                <w:sz w:val="20"/>
                <w:szCs w:val="20"/>
              </w:rPr>
              <w:t xml:space="preserve">conduct a public process </w:t>
            </w:r>
            <w:r>
              <w:rPr>
                <w:rFonts w:ascii="Century Schoolbook" w:hAnsi="Century Schoolbook"/>
                <w:sz w:val="20"/>
                <w:szCs w:val="20"/>
              </w:rPr>
              <w:t xml:space="preserve">to </w:t>
            </w:r>
            <w:r w:rsidRPr="00683DB0">
              <w:rPr>
                <w:rFonts w:ascii="Century Schoolbook" w:hAnsi="Century Schoolbook"/>
                <w:sz w:val="20"/>
                <w:szCs w:val="20"/>
              </w:rPr>
              <w:t xml:space="preserve">negotiate amendments to the POC contract necessary to facilitate participation in such market and </w:t>
            </w:r>
            <w:r>
              <w:rPr>
                <w:rFonts w:ascii="Century Schoolbook" w:hAnsi="Century Schoolbook"/>
                <w:sz w:val="20"/>
                <w:szCs w:val="20"/>
              </w:rPr>
              <w:t xml:space="preserve">2) </w:t>
            </w:r>
            <w:r w:rsidRPr="00683DB0">
              <w:rPr>
                <w:rFonts w:ascii="Century Schoolbook" w:hAnsi="Century Schoolbook"/>
                <w:sz w:val="20"/>
                <w:szCs w:val="20"/>
              </w:rPr>
              <w:t>conduct a separate and subsequent public process on settlements for the Slice Product in a day ahead market.</w:t>
            </w:r>
          </w:p>
        </w:tc>
      </w:tr>
      <w:tr w:rsidR="008226ED" w:rsidRPr="000F0FBC" w14:paraId="2B255554" w14:textId="77777777" w:rsidTr="00801E11">
        <w:trPr>
          <w:cantSplit/>
        </w:trPr>
        <w:tc>
          <w:tcPr>
            <w:tcW w:w="1800" w:type="dxa"/>
          </w:tcPr>
          <w:p w14:paraId="59EE00BD" w14:textId="208A14F0" w:rsidR="008226ED" w:rsidRDefault="008226ED" w:rsidP="008226ED">
            <w:pPr>
              <w:rPr>
                <w:rFonts w:ascii="Century Schoolbook" w:hAnsi="Century Schoolbook"/>
                <w:sz w:val="20"/>
                <w:szCs w:val="20"/>
              </w:rPr>
            </w:pPr>
            <w:r>
              <w:rPr>
                <w:rFonts w:ascii="Century Schoolbook" w:hAnsi="Century Schoolbook"/>
                <w:sz w:val="20"/>
                <w:szCs w:val="20"/>
              </w:rPr>
              <w:lastRenderedPageBreak/>
              <w:t>N/A</w:t>
            </w:r>
          </w:p>
        </w:tc>
        <w:tc>
          <w:tcPr>
            <w:tcW w:w="1800" w:type="dxa"/>
          </w:tcPr>
          <w:p w14:paraId="1A9F484D" w14:textId="5BBED67A" w:rsidR="008226ED" w:rsidRDefault="008226ED" w:rsidP="008226ED">
            <w:pPr>
              <w:rPr>
                <w:rFonts w:ascii="Century Schoolbook" w:hAnsi="Century Schoolbook"/>
                <w:sz w:val="20"/>
                <w:szCs w:val="20"/>
              </w:rPr>
            </w:pPr>
            <w:r>
              <w:rPr>
                <w:rFonts w:ascii="Century Schoolbook" w:hAnsi="Century Schoolbook"/>
                <w:sz w:val="20"/>
                <w:szCs w:val="20"/>
              </w:rPr>
              <w:t>23. Participation in WRAP</w:t>
            </w:r>
          </w:p>
        </w:tc>
        <w:tc>
          <w:tcPr>
            <w:tcW w:w="5760" w:type="dxa"/>
          </w:tcPr>
          <w:p w14:paraId="6BA56C31" w14:textId="0A2DCE84" w:rsidR="008226ED" w:rsidRDefault="008226ED" w:rsidP="008226ED">
            <w:pPr>
              <w:rPr>
                <w:rFonts w:ascii="Century Schoolbook" w:hAnsi="Century Schoolbook"/>
                <w:sz w:val="20"/>
                <w:szCs w:val="20"/>
              </w:rPr>
            </w:pPr>
            <w:r>
              <w:rPr>
                <w:rFonts w:ascii="Century Schoolbook" w:hAnsi="Century Schoolbook"/>
                <w:sz w:val="20"/>
                <w:szCs w:val="20"/>
              </w:rPr>
              <w:t>This provision was not in RD.</w:t>
            </w:r>
          </w:p>
        </w:tc>
        <w:tc>
          <w:tcPr>
            <w:tcW w:w="5310" w:type="dxa"/>
          </w:tcPr>
          <w:p w14:paraId="443472CF" w14:textId="628711B0" w:rsidR="008226ED" w:rsidRDefault="008226ED" w:rsidP="008226ED">
            <w:pPr>
              <w:rPr>
                <w:rFonts w:ascii="Century Schoolbook" w:hAnsi="Century Schoolbook"/>
                <w:sz w:val="20"/>
                <w:szCs w:val="20"/>
              </w:rPr>
            </w:pPr>
            <w:r>
              <w:rPr>
                <w:rFonts w:ascii="Century Schoolbook" w:hAnsi="Century Schoolbook"/>
                <w:sz w:val="20"/>
                <w:szCs w:val="20"/>
              </w:rPr>
              <w:t>BPA is participating in the Western Resource Adequacy Program (WRAP) with its first binding season in winter 2027-2028.  BPA is proposing this new provision to discuss communication roles and responsibilities and, for Load Following customers, outline the principles for seeking load exclusion.  BPA anticipates including more detailed provisions in Exhibit J after contract signing and once details regarding WRAP are more available.</w:t>
            </w:r>
          </w:p>
        </w:tc>
      </w:tr>
      <w:tr w:rsidR="008226ED" w:rsidRPr="000F0FBC" w14:paraId="24E3EDC6" w14:textId="77777777" w:rsidTr="00801E11">
        <w:trPr>
          <w:cantSplit/>
        </w:trPr>
        <w:tc>
          <w:tcPr>
            <w:tcW w:w="1800" w:type="dxa"/>
          </w:tcPr>
          <w:p w14:paraId="11289B2B" w14:textId="47234606" w:rsidR="008226ED" w:rsidRDefault="008226ED" w:rsidP="008226ED">
            <w:pPr>
              <w:rPr>
                <w:rFonts w:ascii="Century Schoolbook" w:hAnsi="Century Schoolbook"/>
                <w:sz w:val="20"/>
                <w:szCs w:val="20"/>
              </w:rPr>
            </w:pPr>
            <w:r>
              <w:rPr>
                <w:rFonts w:ascii="Century Schoolbook" w:hAnsi="Century Schoolbook"/>
                <w:sz w:val="20"/>
                <w:szCs w:val="20"/>
              </w:rPr>
              <w:t>25. Termination</w:t>
            </w:r>
          </w:p>
        </w:tc>
        <w:tc>
          <w:tcPr>
            <w:tcW w:w="1800" w:type="dxa"/>
          </w:tcPr>
          <w:p w14:paraId="5DD57E96" w14:textId="3B3B2B9E" w:rsidR="008226ED" w:rsidRPr="000F0FBC" w:rsidRDefault="008226ED" w:rsidP="008226ED">
            <w:pPr>
              <w:rPr>
                <w:rFonts w:ascii="Century Schoolbook" w:hAnsi="Century Schoolbook"/>
                <w:sz w:val="20"/>
                <w:szCs w:val="20"/>
              </w:rPr>
            </w:pPr>
            <w:r>
              <w:rPr>
                <w:rFonts w:ascii="Century Schoolbook" w:hAnsi="Century Schoolbook"/>
                <w:sz w:val="20"/>
                <w:szCs w:val="20"/>
              </w:rPr>
              <w:t>24. Termination</w:t>
            </w:r>
          </w:p>
        </w:tc>
        <w:tc>
          <w:tcPr>
            <w:tcW w:w="5760" w:type="dxa"/>
          </w:tcPr>
          <w:p w14:paraId="626622A5" w14:textId="1A39BCCF" w:rsidR="008226ED" w:rsidRPr="000F0FBC" w:rsidRDefault="008226ED" w:rsidP="008226ED">
            <w:pPr>
              <w:rPr>
                <w:rFonts w:ascii="Century Schoolbook" w:hAnsi="Century Schoolbook"/>
                <w:sz w:val="20"/>
                <w:szCs w:val="20"/>
              </w:rPr>
            </w:pPr>
            <w:r>
              <w:rPr>
                <w:rFonts w:ascii="Century Schoolbook" w:hAnsi="Century Schoolbook"/>
                <w:sz w:val="20"/>
                <w:szCs w:val="20"/>
              </w:rPr>
              <w:t xml:space="preserve">For BPA’s right to terminate, section 23 points to other sections of the contract that allow BPA the right to terminate if a customer fails to pay its bills or provide payment assurance.  The customers’ right to terminate was tied to FERC’s approval of the Tiered Rate Methodology. </w:t>
            </w:r>
          </w:p>
        </w:tc>
        <w:tc>
          <w:tcPr>
            <w:tcW w:w="5310" w:type="dxa"/>
          </w:tcPr>
          <w:p w14:paraId="034C1233" w14:textId="5EF95AFB" w:rsidR="008226ED" w:rsidRPr="000F0FBC" w:rsidRDefault="008226ED" w:rsidP="008226ED">
            <w:pPr>
              <w:rPr>
                <w:rFonts w:ascii="Century Schoolbook" w:hAnsi="Century Schoolbook"/>
                <w:sz w:val="20"/>
                <w:szCs w:val="20"/>
              </w:rPr>
            </w:pPr>
            <w:r>
              <w:rPr>
                <w:rFonts w:ascii="Century Schoolbook" w:hAnsi="Century Schoolbook"/>
                <w:sz w:val="20"/>
                <w:szCs w:val="20"/>
              </w:rPr>
              <w:t>Because BPA will not seek FERC approval of the PRDM, the section on the customer’s right to terminate has not been included in POC.</w:t>
            </w:r>
          </w:p>
        </w:tc>
      </w:tr>
      <w:tr w:rsidR="008226ED" w:rsidRPr="000F0FBC" w14:paraId="60760BA0" w14:textId="77777777" w:rsidTr="00801E11">
        <w:trPr>
          <w:cantSplit/>
        </w:trPr>
        <w:tc>
          <w:tcPr>
            <w:tcW w:w="1800" w:type="dxa"/>
          </w:tcPr>
          <w:p w14:paraId="06F28D3B" w14:textId="1662A4B8" w:rsidR="008226ED" w:rsidRDefault="008226ED" w:rsidP="008226ED">
            <w:pPr>
              <w:rPr>
                <w:rFonts w:ascii="Century Schoolbook" w:hAnsi="Century Schoolbook"/>
                <w:sz w:val="20"/>
                <w:szCs w:val="20"/>
              </w:rPr>
            </w:pPr>
            <w:r>
              <w:rPr>
                <w:rFonts w:ascii="Century Schoolbook" w:hAnsi="Century Schoolbook"/>
                <w:sz w:val="20"/>
                <w:szCs w:val="20"/>
              </w:rPr>
              <w:t>26. Signatures</w:t>
            </w:r>
          </w:p>
        </w:tc>
        <w:tc>
          <w:tcPr>
            <w:tcW w:w="1800" w:type="dxa"/>
          </w:tcPr>
          <w:p w14:paraId="2220CDCD" w14:textId="68052E07" w:rsidR="008226ED" w:rsidRPr="000F0FBC" w:rsidRDefault="008226ED" w:rsidP="008226ED">
            <w:pPr>
              <w:rPr>
                <w:rFonts w:ascii="Century Schoolbook" w:hAnsi="Century Schoolbook"/>
                <w:sz w:val="20"/>
                <w:szCs w:val="20"/>
              </w:rPr>
            </w:pPr>
            <w:r>
              <w:rPr>
                <w:rFonts w:ascii="Century Schoolbook" w:hAnsi="Century Schoolbook"/>
                <w:sz w:val="20"/>
                <w:szCs w:val="20"/>
              </w:rPr>
              <w:t>25. Signatures</w:t>
            </w:r>
          </w:p>
        </w:tc>
        <w:tc>
          <w:tcPr>
            <w:tcW w:w="5760" w:type="dxa"/>
          </w:tcPr>
          <w:p w14:paraId="5F84023E" w14:textId="1A585DB8" w:rsidR="008226ED" w:rsidRPr="000F0FBC" w:rsidRDefault="008226ED" w:rsidP="008226ED">
            <w:pPr>
              <w:rPr>
                <w:rFonts w:ascii="Century Schoolbook" w:hAnsi="Century Schoolbook"/>
                <w:sz w:val="20"/>
                <w:szCs w:val="20"/>
              </w:rPr>
            </w:pPr>
            <w:r>
              <w:rPr>
                <w:rFonts w:ascii="Century Schoolbook" w:hAnsi="Century Schoolbook"/>
                <w:sz w:val="20"/>
                <w:szCs w:val="20"/>
              </w:rPr>
              <w:t xml:space="preserve">During the term of RD, BPA adopted (optional) electronic signatures on its offered contract actions and changed its Signature clause.  The provision states that the contract action is executed as of the last date that the bilateral contract action was signed. </w:t>
            </w:r>
          </w:p>
        </w:tc>
        <w:tc>
          <w:tcPr>
            <w:tcW w:w="5310" w:type="dxa"/>
          </w:tcPr>
          <w:p w14:paraId="6656FD61" w14:textId="45A89E48" w:rsidR="008226ED" w:rsidRPr="000F0FBC" w:rsidRDefault="008226ED" w:rsidP="008226ED">
            <w:pPr>
              <w:rPr>
                <w:rFonts w:ascii="Century Schoolbook" w:hAnsi="Century Schoolbook"/>
                <w:sz w:val="20"/>
                <w:szCs w:val="20"/>
              </w:rPr>
            </w:pPr>
            <w:r>
              <w:rPr>
                <w:rFonts w:ascii="Century Schoolbook" w:hAnsi="Century Schoolbook"/>
                <w:sz w:val="20"/>
                <w:szCs w:val="20"/>
              </w:rPr>
              <w:t>No changes.</w:t>
            </w:r>
          </w:p>
        </w:tc>
      </w:tr>
      <w:tr w:rsidR="008226ED" w:rsidRPr="000F0FBC" w14:paraId="729B9248" w14:textId="77777777" w:rsidTr="00801E11">
        <w:trPr>
          <w:cantSplit/>
        </w:trPr>
        <w:tc>
          <w:tcPr>
            <w:tcW w:w="1800" w:type="dxa"/>
          </w:tcPr>
          <w:p w14:paraId="0DDBB55E" w14:textId="62A78F9D" w:rsidR="008226ED" w:rsidRDefault="008226ED" w:rsidP="008226ED">
            <w:pPr>
              <w:rPr>
                <w:rFonts w:ascii="Century Schoolbook" w:hAnsi="Century Schoolbook"/>
                <w:sz w:val="20"/>
                <w:szCs w:val="20"/>
              </w:rPr>
            </w:pPr>
            <w:r>
              <w:rPr>
                <w:rFonts w:ascii="Century Schoolbook" w:hAnsi="Century Schoolbook"/>
                <w:sz w:val="20"/>
                <w:szCs w:val="20"/>
              </w:rPr>
              <w:t>Exhibit A, Net Requirements and Resources</w:t>
            </w:r>
          </w:p>
        </w:tc>
        <w:tc>
          <w:tcPr>
            <w:tcW w:w="1800" w:type="dxa"/>
          </w:tcPr>
          <w:p w14:paraId="40C98CA6" w14:textId="47EC2DA6" w:rsidR="008226ED" w:rsidRPr="000F0FBC" w:rsidRDefault="008226ED" w:rsidP="008226ED">
            <w:pPr>
              <w:rPr>
                <w:rFonts w:ascii="Century Schoolbook" w:hAnsi="Century Schoolbook"/>
                <w:sz w:val="20"/>
                <w:szCs w:val="20"/>
              </w:rPr>
            </w:pPr>
            <w:r>
              <w:rPr>
                <w:rFonts w:ascii="Century Schoolbook" w:hAnsi="Century Schoolbook"/>
                <w:sz w:val="20"/>
                <w:szCs w:val="20"/>
              </w:rPr>
              <w:t>Exhibit A, Net Requirements and Resources</w:t>
            </w:r>
          </w:p>
        </w:tc>
        <w:tc>
          <w:tcPr>
            <w:tcW w:w="5760" w:type="dxa"/>
          </w:tcPr>
          <w:p w14:paraId="0F258A4F" w14:textId="1D86E5D5" w:rsidR="008226ED" w:rsidRPr="000F0FBC" w:rsidRDefault="008226ED" w:rsidP="008226ED">
            <w:pPr>
              <w:rPr>
                <w:rFonts w:ascii="Century Schoolbook" w:hAnsi="Century Schoolbook"/>
                <w:sz w:val="20"/>
                <w:szCs w:val="20"/>
              </w:rPr>
            </w:pPr>
            <w:r>
              <w:rPr>
                <w:rFonts w:ascii="Century Schoolbook" w:hAnsi="Century Schoolbook"/>
                <w:sz w:val="20"/>
                <w:szCs w:val="20"/>
              </w:rPr>
              <w:t>At a high level, a customer’s Net Requirement, as the amount of power it may purchase from BPA, is its Total Retail Load minus its Dedicated Resources.  The RD Exhibit A differs depending on a customer’s purchase obligation (product), but it captures the elements of the customer’s Net Requirement including non-federal resources.  For planned product customers, Exhibit A includes forecast TRL and forecast Net Requirements.</w:t>
            </w:r>
          </w:p>
        </w:tc>
        <w:tc>
          <w:tcPr>
            <w:tcW w:w="5310" w:type="dxa"/>
          </w:tcPr>
          <w:p w14:paraId="2E37AF8C" w14:textId="563655BF" w:rsidR="008226ED" w:rsidRPr="000F0FBC" w:rsidRDefault="008226ED" w:rsidP="008226ED">
            <w:pPr>
              <w:rPr>
                <w:rFonts w:ascii="Century Schoolbook" w:hAnsi="Century Schoolbook"/>
                <w:sz w:val="20"/>
                <w:szCs w:val="20"/>
              </w:rPr>
            </w:pPr>
            <w:r>
              <w:rPr>
                <w:rFonts w:ascii="Century Schoolbook" w:hAnsi="Century Schoolbook"/>
                <w:sz w:val="20"/>
                <w:szCs w:val="20"/>
              </w:rPr>
              <w:t>BPA has added updates to this exhibit</w:t>
            </w:r>
            <w:r w:rsidRPr="00A70AC9">
              <w:rPr>
                <w:rFonts w:ascii="Century Schoolbook" w:hAnsi="Century Schoolbook"/>
                <w:sz w:val="20"/>
                <w:szCs w:val="20"/>
              </w:rPr>
              <w:t xml:space="preserve"> </w:t>
            </w:r>
            <w:r>
              <w:rPr>
                <w:rFonts w:ascii="Century Schoolbook" w:hAnsi="Century Schoolbook"/>
                <w:sz w:val="20"/>
                <w:szCs w:val="20"/>
              </w:rPr>
              <w:t xml:space="preserve">that would </w:t>
            </w:r>
            <w:r w:rsidRPr="00A70AC9">
              <w:rPr>
                <w:rFonts w:ascii="Century Schoolbook" w:hAnsi="Century Schoolbook"/>
                <w:sz w:val="20"/>
                <w:szCs w:val="20"/>
              </w:rPr>
              <w:t>both increase efficiencies and reflect resource changes in other sections of the contract:  1</w:t>
            </w:r>
            <w:r>
              <w:rPr>
                <w:rFonts w:ascii="Century Schoolbook" w:hAnsi="Century Schoolbook"/>
                <w:sz w:val="20"/>
                <w:szCs w:val="20"/>
              </w:rPr>
              <w:t>)</w:t>
            </w:r>
            <w:r w:rsidRPr="00A70AC9">
              <w:rPr>
                <w:rFonts w:ascii="Century Schoolbook" w:hAnsi="Century Schoolbook"/>
                <w:sz w:val="20"/>
                <w:szCs w:val="20"/>
              </w:rPr>
              <w:t xml:space="preserve"> Unspecified Resources are being updated to reflect the change to “Committed Power Purchase Amounts”; 2</w:t>
            </w:r>
            <w:r>
              <w:rPr>
                <w:rFonts w:ascii="Century Schoolbook" w:hAnsi="Century Schoolbook"/>
                <w:sz w:val="20"/>
                <w:szCs w:val="20"/>
              </w:rPr>
              <w:t>)</w:t>
            </w:r>
            <w:r w:rsidRPr="00A70AC9">
              <w:rPr>
                <w:rFonts w:ascii="Century Schoolbook" w:hAnsi="Century Schoolbook"/>
                <w:sz w:val="20"/>
                <w:szCs w:val="20"/>
              </w:rPr>
              <w:t xml:space="preserve"> BPA is </w:t>
            </w:r>
            <w:r>
              <w:rPr>
                <w:rFonts w:ascii="Century Schoolbook" w:hAnsi="Century Schoolbook"/>
                <w:sz w:val="20"/>
                <w:szCs w:val="20"/>
              </w:rPr>
              <w:t>removing</w:t>
            </w:r>
            <w:r w:rsidRPr="00A70AC9">
              <w:rPr>
                <w:rFonts w:ascii="Century Schoolbook" w:hAnsi="Century Schoolbook"/>
                <w:sz w:val="20"/>
                <w:szCs w:val="20"/>
              </w:rPr>
              <w:t xml:space="preserve"> language </w:t>
            </w:r>
            <w:r>
              <w:rPr>
                <w:rFonts w:ascii="Century Schoolbook" w:hAnsi="Century Schoolbook"/>
                <w:sz w:val="20"/>
                <w:szCs w:val="20"/>
              </w:rPr>
              <w:t>pertaining to Contract Resources</w:t>
            </w:r>
            <w:r w:rsidRPr="00A70AC9">
              <w:rPr>
                <w:rFonts w:ascii="Century Schoolbook" w:hAnsi="Century Schoolbook"/>
                <w:sz w:val="20"/>
                <w:szCs w:val="20"/>
              </w:rPr>
              <w:t>; 3</w:t>
            </w:r>
            <w:r>
              <w:rPr>
                <w:rFonts w:ascii="Century Schoolbook" w:hAnsi="Century Schoolbook"/>
                <w:sz w:val="20"/>
                <w:szCs w:val="20"/>
              </w:rPr>
              <w:t>)</w:t>
            </w:r>
            <w:r w:rsidRPr="00A70AC9">
              <w:rPr>
                <w:rFonts w:ascii="Century Schoolbook" w:hAnsi="Century Schoolbook"/>
                <w:sz w:val="20"/>
                <w:szCs w:val="20"/>
              </w:rPr>
              <w:t xml:space="preserve"> </w:t>
            </w:r>
            <w:r>
              <w:rPr>
                <w:rFonts w:ascii="Century Schoolbook" w:hAnsi="Century Schoolbook"/>
                <w:sz w:val="20"/>
                <w:szCs w:val="20"/>
              </w:rPr>
              <w:t xml:space="preserve">BPA has moved and consolidated language on load forecast submittals into section 17; 4) </w:t>
            </w:r>
            <w:r w:rsidRPr="00A70AC9">
              <w:rPr>
                <w:rFonts w:ascii="Century Schoolbook" w:hAnsi="Century Schoolbook"/>
                <w:sz w:val="20"/>
                <w:szCs w:val="20"/>
              </w:rPr>
              <w:t>BPA is remov</w:t>
            </w:r>
            <w:r>
              <w:rPr>
                <w:rFonts w:ascii="Century Schoolbook" w:hAnsi="Century Schoolbook"/>
                <w:sz w:val="20"/>
                <w:szCs w:val="20"/>
              </w:rPr>
              <w:t>ing</w:t>
            </w:r>
            <w:r w:rsidRPr="00A70AC9">
              <w:rPr>
                <w:rFonts w:ascii="Century Schoolbook" w:hAnsi="Century Schoolbook"/>
                <w:sz w:val="20"/>
                <w:szCs w:val="20"/>
              </w:rPr>
              <w:t xml:space="preserve"> Small Non-Dispatchable Resources and Super Peak</w:t>
            </w:r>
            <w:r>
              <w:rPr>
                <w:rFonts w:ascii="Century Schoolbook" w:hAnsi="Century Schoolbook"/>
                <w:sz w:val="20"/>
                <w:szCs w:val="20"/>
              </w:rPr>
              <w:t>; and 5) BPA has clarified treatment of Consumer Owned Resources in Net Requirement calculations</w:t>
            </w:r>
            <w:r w:rsidRPr="00A70AC9">
              <w:rPr>
                <w:rFonts w:ascii="Century Schoolbook" w:hAnsi="Century Schoolbook"/>
                <w:sz w:val="20"/>
                <w:szCs w:val="20"/>
              </w:rPr>
              <w:t xml:space="preserve">.  </w:t>
            </w:r>
            <w:r>
              <w:rPr>
                <w:rFonts w:ascii="Century Schoolbook" w:hAnsi="Century Schoolbook"/>
                <w:sz w:val="20"/>
                <w:szCs w:val="20"/>
              </w:rPr>
              <w:t>A</w:t>
            </w:r>
            <w:r w:rsidRPr="00A70AC9">
              <w:rPr>
                <w:rFonts w:ascii="Century Schoolbook" w:hAnsi="Century Schoolbook"/>
                <w:sz w:val="20"/>
                <w:szCs w:val="20"/>
              </w:rPr>
              <w:t xml:space="preserve"> “Delivery Plan” (associated with section 14, Delivery) and “Applied Tier 1 Allowance Amount” data elements </w:t>
            </w:r>
            <w:r>
              <w:rPr>
                <w:rFonts w:ascii="Century Schoolbook" w:hAnsi="Century Schoolbook"/>
                <w:sz w:val="20"/>
                <w:szCs w:val="20"/>
              </w:rPr>
              <w:t xml:space="preserve">are being added </w:t>
            </w:r>
            <w:r w:rsidRPr="00A70AC9">
              <w:rPr>
                <w:rFonts w:ascii="Century Schoolbook" w:hAnsi="Century Schoolbook"/>
                <w:sz w:val="20"/>
                <w:szCs w:val="20"/>
              </w:rPr>
              <w:t xml:space="preserve">to the Resource Profile sections within Exhibit A. </w:t>
            </w:r>
            <w:r>
              <w:rPr>
                <w:rFonts w:ascii="Century Schoolbook" w:hAnsi="Century Schoolbook"/>
                <w:sz w:val="20"/>
                <w:szCs w:val="20"/>
              </w:rPr>
              <w:t xml:space="preserve"> </w:t>
            </w:r>
            <w:r w:rsidRPr="00A70AC9">
              <w:rPr>
                <w:rFonts w:ascii="Century Schoolbook" w:hAnsi="Century Schoolbook"/>
                <w:sz w:val="20"/>
                <w:szCs w:val="20"/>
              </w:rPr>
              <w:t xml:space="preserve">BPA </w:t>
            </w:r>
            <w:r>
              <w:rPr>
                <w:rFonts w:ascii="Century Schoolbook" w:hAnsi="Century Schoolbook"/>
                <w:sz w:val="20"/>
                <w:szCs w:val="20"/>
              </w:rPr>
              <w:t xml:space="preserve">has also streamlined </w:t>
            </w:r>
            <w:r w:rsidRPr="00A70AC9">
              <w:rPr>
                <w:rFonts w:ascii="Century Schoolbook" w:hAnsi="Century Schoolbook"/>
                <w:sz w:val="20"/>
                <w:szCs w:val="20"/>
              </w:rPr>
              <w:t>resource shaping options</w:t>
            </w:r>
            <w:r>
              <w:rPr>
                <w:rFonts w:ascii="Century Schoolbook" w:hAnsi="Century Schoolbook"/>
                <w:sz w:val="20"/>
                <w:szCs w:val="20"/>
              </w:rPr>
              <w:t xml:space="preserve"> for Load Following</w:t>
            </w:r>
            <w:r w:rsidRPr="00A70AC9">
              <w:rPr>
                <w:rFonts w:ascii="Century Schoolbook" w:hAnsi="Century Schoolbook"/>
                <w:sz w:val="20"/>
                <w:szCs w:val="20"/>
              </w:rPr>
              <w:t>.</w:t>
            </w:r>
          </w:p>
        </w:tc>
      </w:tr>
      <w:tr w:rsidR="008226ED" w:rsidRPr="000F0FBC" w14:paraId="2A7C253D" w14:textId="77777777" w:rsidTr="00801E11">
        <w:trPr>
          <w:cantSplit/>
        </w:trPr>
        <w:tc>
          <w:tcPr>
            <w:tcW w:w="1800" w:type="dxa"/>
          </w:tcPr>
          <w:p w14:paraId="15EE4100" w14:textId="549135E7" w:rsidR="008226ED" w:rsidRDefault="008226ED" w:rsidP="008226ED">
            <w:pPr>
              <w:rPr>
                <w:rFonts w:ascii="Century Schoolbook" w:hAnsi="Century Schoolbook"/>
                <w:sz w:val="20"/>
                <w:szCs w:val="20"/>
              </w:rPr>
            </w:pPr>
            <w:r>
              <w:rPr>
                <w:rFonts w:ascii="Century Schoolbook" w:hAnsi="Century Schoolbook"/>
                <w:sz w:val="20"/>
                <w:szCs w:val="20"/>
              </w:rPr>
              <w:lastRenderedPageBreak/>
              <w:t>Exhibit B, High Water Marks and Contract Demand Quantities</w:t>
            </w:r>
          </w:p>
        </w:tc>
        <w:tc>
          <w:tcPr>
            <w:tcW w:w="1800" w:type="dxa"/>
          </w:tcPr>
          <w:p w14:paraId="704052F2" w14:textId="27543668" w:rsidR="008226ED" w:rsidRPr="000F0FBC" w:rsidRDefault="008226ED" w:rsidP="008226ED">
            <w:pPr>
              <w:rPr>
                <w:rFonts w:ascii="Century Schoolbook" w:hAnsi="Century Schoolbook"/>
                <w:sz w:val="20"/>
                <w:szCs w:val="20"/>
              </w:rPr>
            </w:pPr>
            <w:r>
              <w:rPr>
                <w:rFonts w:ascii="Century Schoolbook" w:hAnsi="Century Schoolbook"/>
                <w:sz w:val="20"/>
                <w:szCs w:val="20"/>
              </w:rPr>
              <w:t>Exhibit B, Contract High Water Marks</w:t>
            </w:r>
          </w:p>
        </w:tc>
        <w:tc>
          <w:tcPr>
            <w:tcW w:w="5760" w:type="dxa"/>
          </w:tcPr>
          <w:p w14:paraId="6EBB05B9" w14:textId="40393BFC" w:rsidR="008226ED" w:rsidRPr="000F0FBC" w:rsidRDefault="008226ED" w:rsidP="008226ED">
            <w:pPr>
              <w:rPr>
                <w:rFonts w:ascii="Century Schoolbook" w:hAnsi="Century Schoolbook"/>
                <w:sz w:val="20"/>
                <w:szCs w:val="20"/>
              </w:rPr>
            </w:pPr>
            <w:r>
              <w:rPr>
                <w:rFonts w:ascii="Century Schoolbook" w:hAnsi="Century Schoolbook"/>
                <w:sz w:val="20"/>
                <w:szCs w:val="20"/>
              </w:rPr>
              <w:t>The RD Exhibit B states a customer’s CHWM, the conditions under which a customer’s CHWM could change, the customer’s Contract Demand Quantity (CDQ) Amounts, and the conditions under which a customer’s CDQ would be changed.</w:t>
            </w:r>
          </w:p>
        </w:tc>
        <w:tc>
          <w:tcPr>
            <w:tcW w:w="5310" w:type="dxa"/>
          </w:tcPr>
          <w:p w14:paraId="17D77522" w14:textId="66989EBA" w:rsidR="008226ED" w:rsidRPr="000F0FBC" w:rsidRDefault="008226ED" w:rsidP="008226ED">
            <w:pPr>
              <w:rPr>
                <w:rFonts w:ascii="Century Schoolbook" w:hAnsi="Century Schoolbook"/>
                <w:sz w:val="20"/>
                <w:szCs w:val="20"/>
              </w:rPr>
            </w:pPr>
            <w:r>
              <w:rPr>
                <w:rFonts w:ascii="Century Schoolbook" w:hAnsi="Century Schoolbook"/>
                <w:sz w:val="20"/>
                <w:szCs w:val="20"/>
              </w:rPr>
              <w:t>This exhibit will state a customer’s CHWM and the conditions under which a customer’s CHWM could change.  Consistent with the POC Final Policy and ROD, n</w:t>
            </w:r>
            <w:r w:rsidRPr="0055070C">
              <w:rPr>
                <w:rFonts w:ascii="Century Schoolbook" w:hAnsi="Century Schoolbook"/>
                <w:sz w:val="20"/>
                <w:szCs w:val="20"/>
              </w:rPr>
              <w:t>ew sections are being added specific to the CF/CT adjustment</w:t>
            </w:r>
            <w:r>
              <w:rPr>
                <w:rFonts w:ascii="Century Schoolbook" w:hAnsi="Century Schoolbook"/>
                <w:sz w:val="20"/>
                <w:szCs w:val="20"/>
              </w:rPr>
              <w:t xml:space="preserve">, </w:t>
            </w:r>
            <w:r w:rsidRPr="0055070C">
              <w:rPr>
                <w:rFonts w:ascii="Century Schoolbook" w:hAnsi="Century Schoolbook"/>
                <w:sz w:val="20"/>
                <w:szCs w:val="20"/>
              </w:rPr>
              <w:t xml:space="preserve">small utility adjustment, </w:t>
            </w:r>
            <w:r>
              <w:rPr>
                <w:rFonts w:ascii="Century Schoolbook" w:hAnsi="Century Schoolbook"/>
                <w:sz w:val="20"/>
                <w:szCs w:val="20"/>
              </w:rPr>
              <w:t xml:space="preserve">and adjustment to a JOE’s CHWM due to member additions or terminations, </w:t>
            </w:r>
            <w:r w:rsidRPr="0055070C">
              <w:rPr>
                <w:rFonts w:ascii="Century Schoolbook" w:hAnsi="Century Schoolbook"/>
                <w:sz w:val="20"/>
                <w:szCs w:val="20"/>
              </w:rPr>
              <w:t xml:space="preserve">and updates are being made to the tribal utility section and US DOE Richland section. </w:t>
            </w:r>
            <w:r>
              <w:rPr>
                <w:rFonts w:ascii="Century Schoolbook" w:hAnsi="Century Schoolbook"/>
                <w:sz w:val="20"/>
                <w:szCs w:val="20"/>
              </w:rPr>
              <w:t xml:space="preserve"> </w:t>
            </w:r>
            <w:r w:rsidRPr="0055070C">
              <w:rPr>
                <w:rFonts w:ascii="Century Schoolbook" w:hAnsi="Century Schoolbook"/>
                <w:sz w:val="20"/>
                <w:szCs w:val="20"/>
              </w:rPr>
              <w:t>BPA is removing all mention of CDQs from the exhibit.</w:t>
            </w:r>
          </w:p>
        </w:tc>
      </w:tr>
      <w:tr w:rsidR="008226ED" w:rsidRPr="000F0FBC" w14:paraId="5EAE662A" w14:textId="77777777" w:rsidTr="00801E11">
        <w:trPr>
          <w:cantSplit/>
        </w:trPr>
        <w:tc>
          <w:tcPr>
            <w:tcW w:w="1800" w:type="dxa"/>
          </w:tcPr>
          <w:p w14:paraId="62E326DF" w14:textId="167A05FD" w:rsidR="008226ED" w:rsidRDefault="008226ED" w:rsidP="008226ED">
            <w:pPr>
              <w:rPr>
                <w:rFonts w:ascii="Century Schoolbook" w:hAnsi="Century Schoolbook"/>
                <w:sz w:val="20"/>
                <w:szCs w:val="20"/>
              </w:rPr>
            </w:pPr>
            <w:r>
              <w:rPr>
                <w:rFonts w:ascii="Century Schoolbook" w:hAnsi="Century Schoolbook"/>
                <w:sz w:val="20"/>
                <w:szCs w:val="20"/>
              </w:rPr>
              <w:t>Exhibit C, Purchase Obligations</w:t>
            </w:r>
          </w:p>
        </w:tc>
        <w:tc>
          <w:tcPr>
            <w:tcW w:w="1800" w:type="dxa"/>
          </w:tcPr>
          <w:p w14:paraId="3F573099" w14:textId="29FBEE8B" w:rsidR="008226ED" w:rsidRPr="000F0FBC" w:rsidRDefault="008226ED" w:rsidP="008226ED">
            <w:pPr>
              <w:rPr>
                <w:rFonts w:ascii="Century Schoolbook" w:hAnsi="Century Schoolbook"/>
                <w:sz w:val="20"/>
                <w:szCs w:val="20"/>
              </w:rPr>
            </w:pPr>
            <w:r>
              <w:rPr>
                <w:rFonts w:ascii="Century Schoolbook" w:hAnsi="Century Schoolbook"/>
                <w:sz w:val="20"/>
                <w:szCs w:val="20"/>
              </w:rPr>
              <w:t>Exhibit C, Purchase Obligations</w:t>
            </w:r>
          </w:p>
        </w:tc>
        <w:tc>
          <w:tcPr>
            <w:tcW w:w="5760" w:type="dxa"/>
          </w:tcPr>
          <w:p w14:paraId="0EF03387" w14:textId="6EBEFBC0" w:rsidR="008226ED" w:rsidRPr="000F0FBC" w:rsidRDefault="008226ED" w:rsidP="008226ED">
            <w:pPr>
              <w:rPr>
                <w:rFonts w:ascii="Century Schoolbook" w:hAnsi="Century Schoolbook"/>
                <w:sz w:val="20"/>
                <w:szCs w:val="20"/>
              </w:rPr>
            </w:pPr>
            <w:r>
              <w:rPr>
                <w:rFonts w:ascii="Century Schoolbook" w:hAnsi="Century Schoolbook"/>
                <w:sz w:val="20"/>
                <w:szCs w:val="20"/>
              </w:rPr>
              <w:t>Establishes customer’s Firm Requirements Power at Tier 1 Rates and Tier 2 Rates.  The RD Exhibit C was different depending on a customer’s purchase obligation (product).</w:t>
            </w:r>
          </w:p>
        </w:tc>
        <w:tc>
          <w:tcPr>
            <w:tcW w:w="5310" w:type="dxa"/>
          </w:tcPr>
          <w:p w14:paraId="2FF582A2" w14:textId="594E686C" w:rsidR="008226ED" w:rsidRPr="000F0FBC" w:rsidRDefault="008226ED" w:rsidP="008226ED">
            <w:pPr>
              <w:rPr>
                <w:rFonts w:ascii="Century Schoolbook" w:hAnsi="Century Schoolbook"/>
                <w:sz w:val="20"/>
                <w:szCs w:val="20"/>
              </w:rPr>
            </w:pPr>
            <w:r>
              <w:rPr>
                <w:rFonts w:ascii="Century Schoolbook" w:hAnsi="Century Schoolbook"/>
                <w:sz w:val="20"/>
                <w:szCs w:val="20"/>
              </w:rPr>
              <w:t xml:space="preserve">This exhibit establishes a customer’s Firm Requirements Power purchase amounts at Tier 1 Rates and Tier 2 Rates and includes four POC Above-CHWM Load election options along with a Tier 2 Vintage offering.  A customer makes its Above-CHWM Load service election once for the term of the Agreement, though options for a one-time election change are provided.  This exhibit also establishes Tier 1 Block options for the six Block product offerings that BPA has proposed and includes the calculation details of the Block portion of the Slice/Block product, as applicable.  Language has been included in the Master Template to outline the PLVS offering.  </w:t>
            </w:r>
            <w:r w:rsidR="00C60BC3">
              <w:rPr>
                <w:rFonts w:ascii="Century Schoolbook" w:hAnsi="Century Schoolbook"/>
                <w:sz w:val="20"/>
                <w:szCs w:val="20"/>
              </w:rPr>
              <w:t>This exhibit incorporate</w:t>
            </w:r>
            <w:r w:rsidR="008F04A6">
              <w:rPr>
                <w:rFonts w:ascii="Century Schoolbook" w:hAnsi="Century Schoolbook"/>
                <w:sz w:val="20"/>
                <w:szCs w:val="20"/>
              </w:rPr>
              <w:t>s</w:t>
            </w:r>
            <w:r w:rsidR="00C60BC3">
              <w:rPr>
                <w:rFonts w:ascii="Century Schoolbook" w:hAnsi="Century Schoolbook"/>
                <w:sz w:val="20"/>
                <w:szCs w:val="20"/>
              </w:rPr>
              <w:t xml:space="preserve"> </w:t>
            </w:r>
            <w:r w:rsidR="008F04A6">
              <w:rPr>
                <w:rFonts w:ascii="Century Schoolbook" w:hAnsi="Century Schoolbook"/>
                <w:sz w:val="20"/>
                <w:szCs w:val="20"/>
              </w:rPr>
              <w:t xml:space="preserve">JOE level version </w:t>
            </w:r>
            <w:r w:rsidR="00C60BC3">
              <w:rPr>
                <w:rFonts w:ascii="Century Schoolbook" w:hAnsi="Century Schoolbook"/>
                <w:sz w:val="20"/>
                <w:szCs w:val="20"/>
              </w:rPr>
              <w:t xml:space="preserve">to adapt language specifically delineating when summed JOE Member level calculations apply to the overall JOE amounts for </w:t>
            </w:r>
            <w:r w:rsidR="008F04A6">
              <w:rPr>
                <w:rFonts w:ascii="Century Schoolbook" w:hAnsi="Century Schoolbook"/>
                <w:sz w:val="20"/>
                <w:szCs w:val="20"/>
              </w:rPr>
              <w:t xml:space="preserve">various calculations for the </w:t>
            </w:r>
            <w:r w:rsidR="00C60BC3">
              <w:rPr>
                <w:rFonts w:ascii="Century Schoolbook" w:hAnsi="Century Schoolbook"/>
                <w:sz w:val="20"/>
                <w:szCs w:val="20"/>
              </w:rPr>
              <w:t xml:space="preserve">Block and Slice Block product offerings.  </w:t>
            </w:r>
          </w:p>
        </w:tc>
      </w:tr>
      <w:tr w:rsidR="008226ED" w:rsidRPr="000F0FBC" w14:paraId="54BAF94A" w14:textId="77777777" w:rsidTr="00801E11">
        <w:trPr>
          <w:cantSplit/>
        </w:trPr>
        <w:tc>
          <w:tcPr>
            <w:tcW w:w="1800" w:type="dxa"/>
          </w:tcPr>
          <w:p w14:paraId="3E966594" w14:textId="029C9F21" w:rsidR="008226ED" w:rsidRDefault="008226ED" w:rsidP="008226ED">
            <w:pPr>
              <w:rPr>
                <w:rFonts w:ascii="Century Schoolbook" w:hAnsi="Century Schoolbook"/>
                <w:sz w:val="20"/>
                <w:szCs w:val="20"/>
              </w:rPr>
            </w:pPr>
            <w:r>
              <w:rPr>
                <w:rFonts w:ascii="Century Schoolbook" w:hAnsi="Century Schoolbook"/>
                <w:sz w:val="20"/>
                <w:szCs w:val="20"/>
              </w:rPr>
              <w:lastRenderedPageBreak/>
              <w:t>Exhibit D, Additional Products and Special Provisions</w:t>
            </w:r>
          </w:p>
        </w:tc>
        <w:tc>
          <w:tcPr>
            <w:tcW w:w="1800" w:type="dxa"/>
          </w:tcPr>
          <w:p w14:paraId="2AC3C605" w14:textId="3B5F862A" w:rsidR="008226ED" w:rsidRPr="000F0FBC" w:rsidRDefault="008226ED" w:rsidP="008226ED">
            <w:pPr>
              <w:rPr>
                <w:rFonts w:ascii="Century Schoolbook" w:hAnsi="Century Schoolbook"/>
                <w:sz w:val="20"/>
                <w:szCs w:val="20"/>
              </w:rPr>
            </w:pPr>
            <w:r>
              <w:rPr>
                <w:rFonts w:ascii="Century Schoolbook" w:hAnsi="Century Schoolbook"/>
                <w:sz w:val="20"/>
                <w:szCs w:val="20"/>
              </w:rPr>
              <w:t>Exhibit D, Additional Products and Special Provisions</w:t>
            </w:r>
          </w:p>
        </w:tc>
        <w:tc>
          <w:tcPr>
            <w:tcW w:w="5760" w:type="dxa"/>
          </w:tcPr>
          <w:p w14:paraId="33906CD5" w14:textId="29BD5241" w:rsidR="008226ED" w:rsidRPr="000F0FBC" w:rsidRDefault="008226ED" w:rsidP="008226ED">
            <w:pPr>
              <w:rPr>
                <w:rFonts w:ascii="Century Schoolbook" w:hAnsi="Century Schoolbook"/>
                <w:sz w:val="20"/>
                <w:szCs w:val="20"/>
              </w:rPr>
            </w:pPr>
            <w:r>
              <w:rPr>
                <w:rFonts w:ascii="Century Schoolbook" w:hAnsi="Century Schoolbook"/>
                <w:sz w:val="20"/>
                <w:szCs w:val="20"/>
              </w:rPr>
              <w:t>Commonly referred to as “unique and special issues”, Exhibit D is home for unique or non-standard provisions that do not logically fit in other sections of the contract to address a customer’s unique and/or special circumstances.  Information on a customer’s CF/CTs and NLSLs, if any, is contained in section 1 of Exhibit D.  Over the term of RD, BPA added new options to section 1, including the option for Planned NLSLs.  Section 2 of Exhibit D contains the Resources Support Services terms and conditions, if a customer purchased such.  Section 3 covers Irrigation Rate Mitigation, again, if the customer receives the irrigation discount.  Other provisions commonly found in Exhibit D, as applicable, include Grandfathered GMS, Limitations on Exchange of Existing Resources (related to Residential Exchange Program), WREGIS Subaccount language, and Baseline Delivery Percentages and Amounts (or Proportional Scheduling).</w:t>
            </w:r>
          </w:p>
        </w:tc>
        <w:tc>
          <w:tcPr>
            <w:tcW w:w="5310" w:type="dxa"/>
          </w:tcPr>
          <w:p w14:paraId="46ABF800" w14:textId="4C217148" w:rsidR="008226ED" w:rsidRPr="000F0FBC" w:rsidRDefault="008226ED" w:rsidP="008226ED">
            <w:pPr>
              <w:rPr>
                <w:rFonts w:ascii="Century Schoolbook" w:hAnsi="Century Schoolbook"/>
                <w:sz w:val="20"/>
                <w:szCs w:val="20"/>
              </w:rPr>
            </w:pPr>
            <w:r>
              <w:rPr>
                <w:rFonts w:ascii="Century Schoolbook" w:hAnsi="Century Schoolbook"/>
                <w:sz w:val="20"/>
                <w:szCs w:val="20"/>
              </w:rPr>
              <w:t>BPA will continue to utilize Exhibit D as the home for unique and non-standard provisions that do not logically fit in other sections of the contract.  However, BPA has proposed to move the RSS provisions to the new Exhibit J.  The ‘Limitations on Exchange’ provision does not apply under POC and will not be included. BPA has restructured ‘Proportional Scheduling’ in section 14, Delivery such that the Baseline Delivery Percentages language is no longer needed in Exhibit D.  Also, BPA includes the WREGIS Subaccount provisions in Exhibit H, so those will no longer be contained in Exhibit D. Edits to section 1 of Exhibit D, NLSLs and CF/CTs,</w:t>
            </w:r>
            <w:r w:rsidRPr="00204436">
              <w:rPr>
                <w:rFonts w:ascii="Century Schoolbook" w:hAnsi="Century Schoolbook"/>
                <w:sz w:val="20"/>
                <w:szCs w:val="20"/>
              </w:rPr>
              <w:t xml:space="preserve"> </w:t>
            </w:r>
            <w:r>
              <w:rPr>
                <w:rFonts w:ascii="Century Schoolbook" w:hAnsi="Century Schoolbook"/>
                <w:sz w:val="20"/>
                <w:szCs w:val="20"/>
              </w:rPr>
              <w:t xml:space="preserve">are </w:t>
            </w:r>
            <w:r w:rsidRPr="00204436">
              <w:rPr>
                <w:rFonts w:ascii="Century Schoolbook" w:hAnsi="Century Schoolbook"/>
                <w:sz w:val="20"/>
                <w:szCs w:val="20"/>
              </w:rPr>
              <w:t>intended to improve the flow, understandability and clarity of the NLSL language</w:t>
            </w:r>
            <w:r>
              <w:rPr>
                <w:rFonts w:ascii="Century Schoolbook" w:hAnsi="Century Schoolbook"/>
                <w:sz w:val="20"/>
                <w:szCs w:val="20"/>
              </w:rPr>
              <w:t xml:space="preserve">. </w:t>
            </w:r>
            <w:r w:rsidRPr="00204436">
              <w:rPr>
                <w:rFonts w:ascii="Century Schoolbook" w:hAnsi="Century Schoolbook"/>
                <w:sz w:val="20"/>
                <w:szCs w:val="20"/>
              </w:rPr>
              <w:t xml:space="preserve"> </w:t>
            </w:r>
            <w:r>
              <w:rPr>
                <w:rFonts w:ascii="Century Schoolbook" w:hAnsi="Century Schoolbook"/>
                <w:sz w:val="20"/>
                <w:szCs w:val="20"/>
              </w:rPr>
              <w:t>L</w:t>
            </w:r>
            <w:r w:rsidRPr="00204436">
              <w:rPr>
                <w:rFonts w:ascii="Century Schoolbook" w:hAnsi="Century Schoolbook"/>
                <w:sz w:val="20"/>
                <w:szCs w:val="20"/>
              </w:rPr>
              <w:t xml:space="preserve">anguage </w:t>
            </w:r>
            <w:r>
              <w:rPr>
                <w:rFonts w:ascii="Century Schoolbook" w:hAnsi="Century Schoolbook"/>
                <w:sz w:val="20"/>
                <w:szCs w:val="20"/>
              </w:rPr>
              <w:t>is being added that will apply to</w:t>
            </w:r>
            <w:r w:rsidRPr="00204436">
              <w:rPr>
                <w:rFonts w:ascii="Century Schoolbook" w:hAnsi="Century Schoolbook"/>
                <w:sz w:val="20"/>
                <w:szCs w:val="20"/>
              </w:rPr>
              <w:t xml:space="preserve"> Load Following customers</w:t>
            </w:r>
            <w:r>
              <w:rPr>
                <w:rFonts w:ascii="Century Schoolbook" w:hAnsi="Century Schoolbook"/>
                <w:sz w:val="20"/>
                <w:szCs w:val="20"/>
              </w:rPr>
              <w:t xml:space="preserve"> requesting firm power from BPA</w:t>
            </w:r>
            <w:r w:rsidRPr="00204436">
              <w:rPr>
                <w:rFonts w:ascii="Century Schoolbook" w:hAnsi="Century Schoolbook"/>
                <w:sz w:val="20"/>
                <w:szCs w:val="20"/>
              </w:rPr>
              <w:t xml:space="preserve"> to serve NLSLs.</w:t>
            </w:r>
          </w:p>
        </w:tc>
      </w:tr>
      <w:tr w:rsidR="008226ED" w:rsidRPr="000F0FBC" w14:paraId="376B2EBE" w14:textId="77777777" w:rsidTr="00801E11">
        <w:trPr>
          <w:cantSplit/>
        </w:trPr>
        <w:tc>
          <w:tcPr>
            <w:tcW w:w="1800" w:type="dxa"/>
          </w:tcPr>
          <w:p w14:paraId="01145F97" w14:textId="667915A9" w:rsidR="008226ED" w:rsidRDefault="008226ED" w:rsidP="008226ED">
            <w:pPr>
              <w:rPr>
                <w:rFonts w:ascii="Century Schoolbook" w:hAnsi="Century Schoolbook"/>
                <w:sz w:val="20"/>
                <w:szCs w:val="20"/>
              </w:rPr>
            </w:pPr>
            <w:r>
              <w:rPr>
                <w:rFonts w:ascii="Century Schoolbook" w:hAnsi="Century Schoolbook"/>
                <w:sz w:val="20"/>
                <w:szCs w:val="20"/>
              </w:rPr>
              <w:t>Exhibit E, Metering</w:t>
            </w:r>
          </w:p>
        </w:tc>
        <w:tc>
          <w:tcPr>
            <w:tcW w:w="1800" w:type="dxa"/>
          </w:tcPr>
          <w:p w14:paraId="05A3CE6B" w14:textId="2416F037" w:rsidR="008226ED" w:rsidRPr="000F0FBC" w:rsidRDefault="008226ED" w:rsidP="008226ED">
            <w:pPr>
              <w:rPr>
                <w:rFonts w:ascii="Century Schoolbook" w:hAnsi="Century Schoolbook"/>
                <w:sz w:val="20"/>
                <w:szCs w:val="20"/>
              </w:rPr>
            </w:pPr>
            <w:r>
              <w:rPr>
                <w:rFonts w:ascii="Century Schoolbook" w:hAnsi="Century Schoolbook"/>
                <w:sz w:val="20"/>
                <w:szCs w:val="20"/>
              </w:rPr>
              <w:t>Exhibit E, Metering</w:t>
            </w:r>
          </w:p>
        </w:tc>
        <w:tc>
          <w:tcPr>
            <w:tcW w:w="5760" w:type="dxa"/>
          </w:tcPr>
          <w:p w14:paraId="783298F0" w14:textId="6D413396" w:rsidR="008226ED" w:rsidRPr="000F0FBC" w:rsidRDefault="008226ED" w:rsidP="008226ED">
            <w:pPr>
              <w:rPr>
                <w:rFonts w:ascii="Century Schoolbook" w:hAnsi="Century Schoolbook"/>
                <w:sz w:val="20"/>
                <w:szCs w:val="20"/>
              </w:rPr>
            </w:pPr>
            <w:r>
              <w:rPr>
                <w:rFonts w:ascii="Century Schoolbook" w:hAnsi="Century Schoolbook"/>
                <w:sz w:val="20"/>
                <w:szCs w:val="20"/>
              </w:rPr>
              <w:t>Exhibit E, Metering, is found in all RD contracts, though there are two versions.  One version is for Load Following customers and any Block or Slice/Block customer that does not operate their own balancing authority areas (BAA); this version includes considerable detail about customers’ meters.  The second version is for Block or Slice/Block customers that operate their own BAAs, with limited meter information captured in Exhibit E.  Over the term of RD, BPA, for administrative efficiency purposes, introduced a table format for some customers’ Exhibit E revisions.</w:t>
            </w:r>
          </w:p>
        </w:tc>
        <w:tc>
          <w:tcPr>
            <w:tcW w:w="5310" w:type="dxa"/>
          </w:tcPr>
          <w:p w14:paraId="4822321F" w14:textId="7CA9BA93" w:rsidR="008226ED" w:rsidRPr="000F0FBC" w:rsidRDefault="008226ED" w:rsidP="008226ED">
            <w:pPr>
              <w:rPr>
                <w:rFonts w:ascii="Century Schoolbook" w:hAnsi="Century Schoolbook"/>
                <w:sz w:val="20"/>
                <w:szCs w:val="20"/>
              </w:rPr>
            </w:pPr>
            <w:r>
              <w:rPr>
                <w:rFonts w:ascii="Century Schoolbook" w:hAnsi="Century Schoolbook"/>
                <w:sz w:val="20"/>
                <w:szCs w:val="20"/>
              </w:rPr>
              <w:t xml:space="preserve">BPA is including a table format for all customers’ Exhibit Es.  </w:t>
            </w:r>
            <w:r w:rsidRPr="00CD34B8">
              <w:rPr>
                <w:rFonts w:ascii="Century Schoolbook" w:hAnsi="Century Schoolbook"/>
                <w:sz w:val="20"/>
                <w:szCs w:val="20"/>
              </w:rPr>
              <w:t xml:space="preserve">BPA is proposing that after the </w:t>
            </w:r>
            <w:r>
              <w:rPr>
                <w:rFonts w:ascii="Century Schoolbook" w:hAnsi="Century Schoolbook"/>
                <w:sz w:val="20"/>
                <w:szCs w:val="20"/>
              </w:rPr>
              <w:t>p</w:t>
            </w:r>
            <w:r w:rsidRPr="00CD34B8">
              <w:rPr>
                <w:rFonts w:ascii="Century Schoolbook" w:hAnsi="Century Schoolbook"/>
                <w:sz w:val="20"/>
                <w:szCs w:val="20"/>
              </w:rPr>
              <w:t xml:space="preserve">arties have the opportunity to agree to proposed changes in a revision, </w:t>
            </w:r>
            <w:r>
              <w:rPr>
                <w:rFonts w:ascii="Century Schoolbook" w:hAnsi="Century Schoolbook"/>
                <w:sz w:val="20"/>
                <w:szCs w:val="20"/>
              </w:rPr>
              <w:t>BPA would have the unilateral right to revise the exhibit if the customer unreasonably delays or withholds their review and approval.</w:t>
            </w:r>
          </w:p>
        </w:tc>
      </w:tr>
      <w:tr w:rsidR="008226ED" w:rsidRPr="000F0FBC" w14:paraId="16BDECA6" w14:textId="77777777" w:rsidTr="00801E11">
        <w:trPr>
          <w:cantSplit/>
        </w:trPr>
        <w:tc>
          <w:tcPr>
            <w:tcW w:w="1800" w:type="dxa"/>
          </w:tcPr>
          <w:p w14:paraId="1078CD9D" w14:textId="32888BED" w:rsidR="008226ED" w:rsidRDefault="008226ED" w:rsidP="008226ED">
            <w:pPr>
              <w:rPr>
                <w:rFonts w:ascii="Century Schoolbook" w:hAnsi="Century Schoolbook"/>
                <w:sz w:val="20"/>
                <w:szCs w:val="20"/>
              </w:rPr>
            </w:pPr>
            <w:r>
              <w:rPr>
                <w:rFonts w:ascii="Century Schoolbook" w:hAnsi="Century Schoolbook"/>
                <w:sz w:val="20"/>
                <w:szCs w:val="20"/>
              </w:rPr>
              <w:lastRenderedPageBreak/>
              <w:t>Exhibit F, Scheduling or Transmission Scheduling Service</w:t>
            </w:r>
          </w:p>
        </w:tc>
        <w:tc>
          <w:tcPr>
            <w:tcW w:w="1800" w:type="dxa"/>
          </w:tcPr>
          <w:p w14:paraId="0574CAE4" w14:textId="17CFDB74" w:rsidR="008226ED" w:rsidRPr="000F0FBC" w:rsidRDefault="008226ED" w:rsidP="008226ED">
            <w:pPr>
              <w:rPr>
                <w:rFonts w:ascii="Century Schoolbook" w:hAnsi="Century Schoolbook"/>
                <w:sz w:val="20"/>
                <w:szCs w:val="20"/>
              </w:rPr>
            </w:pPr>
            <w:r>
              <w:rPr>
                <w:rFonts w:ascii="Century Schoolbook" w:hAnsi="Century Schoolbook"/>
                <w:sz w:val="20"/>
                <w:szCs w:val="20"/>
              </w:rPr>
              <w:t>Exhibit F, Scheduling or Transmission Scheduling Service</w:t>
            </w:r>
          </w:p>
        </w:tc>
        <w:tc>
          <w:tcPr>
            <w:tcW w:w="5760" w:type="dxa"/>
          </w:tcPr>
          <w:p w14:paraId="6C9851E9" w14:textId="28E70D45" w:rsidR="008226ED" w:rsidRPr="000F0FBC" w:rsidRDefault="008226ED" w:rsidP="008226ED">
            <w:pPr>
              <w:rPr>
                <w:rFonts w:ascii="Century Schoolbook" w:hAnsi="Century Schoolbook"/>
                <w:sz w:val="20"/>
                <w:szCs w:val="20"/>
              </w:rPr>
            </w:pPr>
            <w:r>
              <w:rPr>
                <w:rFonts w:ascii="Century Schoolbook" w:hAnsi="Century Schoolbook"/>
                <w:sz w:val="20"/>
                <w:szCs w:val="20"/>
              </w:rPr>
              <w:t xml:space="preserve">At a high level, Exhibit F is an operational exhibit </w:t>
            </w:r>
            <w:bookmarkStart w:id="1" w:name="_Hlk180752675"/>
            <w:r>
              <w:rPr>
                <w:rFonts w:ascii="Century Schoolbook" w:hAnsi="Century Schoolbook"/>
                <w:sz w:val="20"/>
                <w:szCs w:val="20"/>
              </w:rPr>
              <w:t xml:space="preserve">outlining the parties’ respective obligations regarding scheduling of BPA provided power and customers’ non-federal resources.  </w:t>
            </w:r>
            <w:bookmarkEnd w:id="1"/>
            <w:r>
              <w:rPr>
                <w:rFonts w:ascii="Century Schoolbook" w:hAnsi="Century Schoolbook"/>
                <w:sz w:val="20"/>
                <w:szCs w:val="20"/>
              </w:rPr>
              <w:t>Certain customers are required and some customers could elect to purchase Transmission Scheduling Service; these customers received Exhibit F, Transmission Scheduling Service.  This exhibit has been revised numerous times to provide additional services and options to customers, including Transmission Curtailment Management Service and TSS-Partial.  Consequently, several versions exist.</w:t>
            </w:r>
          </w:p>
        </w:tc>
        <w:tc>
          <w:tcPr>
            <w:tcW w:w="5310" w:type="dxa"/>
          </w:tcPr>
          <w:p w14:paraId="2A8B439E" w14:textId="166786A7" w:rsidR="008226ED" w:rsidRPr="000F0FBC" w:rsidRDefault="008226ED" w:rsidP="008226ED">
            <w:pPr>
              <w:rPr>
                <w:rFonts w:ascii="Century Schoolbook" w:hAnsi="Century Schoolbook"/>
                <w:sz w:val="20"/>
                <w:szCs w:val="20"/>
              </w:rPr>
            </w:pPr>
            <w:r>
              <w:rPr>
                <w:rFonts w:ascii="Century Schoolbook" w:hAnsi="Century Schoolbook"/>
                <w:sz w:val="20"/>
                <w:szCs w:val="20"/>
              </w:rPr>
              <w:t>Exhibit F continues to be an operational exhibit outlining the parties’ respective obligations regarding scheduling of BPA provided power and customers’ non-federal resources.  Certain Load Following customers are required and some customers will be able elect to purchase Transmission Scheduling Service (TSS); these customers will receive Exhibit F, Transmission Scheduling Service.  BPA will continue to offer TSS-Partial and TSS-Full; however, in POC, customers may elect TSS-Partial or TSS-Full for individual non-federal resources.  BPA is proposing to move customer-specific TSS information and other scheduling-related resource information into Exhibit J.  BPA has included Exhibit F Scheduling language for a Block customer served by Transfer Service, which was not included in RD.</w:t>
            </w:r>
          </w:p>
        </w:tc>
      </w:tr>
      <w:tr w:rsidR="008226ED" w:rsidRPr="000F0FBC" w14:paraId="4F7A83B8" w14:textId="77777777" w:rsidTr="00801E11">
        <w:trPr>
          <w:cantSplit/>
        </w:trPr>
        <w:tc>
          <w:tcPr>
            <w:tcW w:w="1800" w:type="dxa"/>
          </w:tcPr>
          <w:p w14:paraId="2C526B68" w14:textId="0BAED52B" w:rsidR="008226ED" w:rsidRDefault="008226ED" w:rsidP="008226ED">
            <w:pPr>
              <w:rPr>
                <w:rFonts w:ascii="Century Schoolbook" w:hAnsi="Century Schoolbook"/>
                <w:sz w:val="20"/>
                <w:szCs w:val="20"/>
              </w:rPr>
            </w:pPr>
            <w:r>
              <w:rPr>
                <w:rFonts w:ascii="Century Schoolbook" w:hAnsi="Century Schoolbook"/>
                <w:sz w:val="20"/>
                <w:szCs w:val="20"/>
              </w:rPr>
              <w:t>Exhibit G, Principles of Non-Federal Transfer Service (or “Intentionally Left Blank”)</w:t>
            </w:r>
          </w:p>
        </w:tc>
        <w:tc>
          <w:tcPr>
            <w:tcW w:w="1800" w:type="dxa"/>
          </w:tcPr>
          <w:p w14:paraId="70EF4F11" w14:textId="7E4D93AB" w:rsidR="008226ED" w:rsidRPr="000F0FBC" w:rsidRDefault="008226ED" w:rsidP="008226ED">
            <w:pPr>
              <w:rPr>
                <w:rFonts w:ascii="Century Schoolbook" w:hAnsi="Century Schoolbook"/>
                <w:sz w:val="20"/>
                <w:szCs w:val="20"/>
              </w:rPr>
            </w:pPr>
            <w:r>
              <w:rPr>
                <w:rFonts w:ascii="Century Schoolbook" w:hAnsi="Century Schoolbook"/>
                <w:sz w:val="20"/>
                <w:szCs w:val="20"/>
              </w:rPr>
              <w:t>Exhibit G, Terms Related to Transfer Service</w:t>
            </w:r>
          </w:p>
        </w:tc>
        <w:tc>
          <w:tcPr>
            <w:tcW w:w="5760" w:type="dxa"/>
          </w:tcPr>
          <w:p w14:paraId="27B93AA9" w14:textId="1CA561DA" w:rsidR="008226ED" w:rsidRPr="000F0FBC" w:rsidRDefault="008226ED" w:rsidP="008226ED">
            <w:pPr>
              <w:tabs>
                <w:tab w:val="left" w:pos="2430"/>
                <w:tab w:val="right" w:pos="8820"/>
                <w:tab w:val="right" w:pos="9360"/>
              </w:tabs>
              <w:rPr>
                <w:rFonts w:ascii="Century Schoolbook" w:hAnsi="Century Schoolbook"/>
                <w:sz w:val="20"/>
                <w:szCs w:val="20"/>
              </w:rPr>
            </w:pPr>
            <w:r>
              <w:rPr>
                <w:rFonts w:ascii="Century Schoolbook" w:hAnsi="Century Schoolbook"/>
                <w:sz w:val="20"/>
                <w:szCs w:val="20"/>
              </w:rPr>
              <w:t>Exhibit G</w:t>
            </w:r>
            <w:r w:rsidRPr="00D231B0">
              <w:rPr>
                <w:rFonts w:ascii="Century Schoolbook" w:hAnsi="Century Schoolbook"/>
                <w:sz w:val="20"/>
                <w:szCs w:val="20"/>
              </w:rPr>
              <w:t xml:space="preserve"> </w:t>
            </w:r>
            <w:r>
              <w:rPr>
                <w:rFonts w:ascii="Century Schoolbook" w:hAnsi="Century Schoolbook"/>
                <w:sz w:val="20"/>
                <w:szCs w:val="20"/>
              </w:rPr>
              <w:t>wa</w:t>
            </w:r>
            <w:r w:rsidRPr="00D231B0">
              <w:rPr>
                <w:rFonts w:ascii="Century Schoolbook" w:hAnsi="Century Schoolbook"/>
                <w:sz w:val="20"/>
                <w:szCs w:val="20"/>
              </w:rPr>
              <w:t xml:space="preserve">s only included in transfer customers’ contracts and </w:t>
            </w:r>
            <w:r>
              <w:rPr>
                <w:rFonts w:ascii="Century Schoolbook" w:hAnsi="Century Schoolbook"/>
                <w:sz w:val="20"/>
                <w:szCs w:val="20"/>
              </w:rPr>
              <w:t>was</w:t>
            </w:r>
            <w:r w:rsidRPr="00D231B0">
              <w:rPr>
                <w:rFonts w:ascii="Century Schoolbook" w:hAnsi="Century Schoolbook"/>
                <w:sz w:val="20"/>
                <w:szCs w:val="20"/>
              </w:rPr>
              <w:t xml:space="preserve"> left blank for all directly connected customers. </w:t>
            </w:r>
            <w:r>
              <w:rPr>
                <w:rFonts w:ascii="Century Schoolbook" w:hAnsi="Century Schoolbook"/>
                <w:sz w:val="20"/>
                <w:szCs w:val="20"/>
              </w:rPr>
              <w:t xml:space="preserve"> </w:t>
            </w:r>
            <w:r w:rsidRPr="00D231B0">
              <w:rPr>
                <w:rFonts w:ascii="Century Schoolbook" w:hAnsi="Century Schoolbook"/>
                <w:sz w:val="20"/>
                <w:szCs w:val="20"/>
              </w:rPr>
              <w:t>Section 14.6.7 of the RD contract state</w:t>
            </w:r>
            <w:r>
              <w:rPr>
                <w:rFonts w:ascii="Century Schoolbook" w:hAnsi="Century Schoolbook"/>
                <w:sz w:val="20"/>
                <w:szCs w:val="20"/>
              </w:rPr>
              <w:t>s</w:t>
            </w:r>
            <w:r w:rsidRPr="00D231B0">
              <w:rPr>
                <w:rFonts w:ascii="Century Schoolbook" w:hAnsi="Century Schoolbook"/>
                <w:sz w:val="20"/>
                <w:szCs w:val="20"/>
              </w:rPr>
              <w:t xml:space="preserve"> that BPA would offer a separate contract after the RD contract</w:t>
            </w:r>
            <w:r>
              <w:rPr>
                <w:rFonts w:ascii="Century Schoolbook" w:hAnsi="Century Schoolbook"/>
                <w:sz w:val="20"/>
                <w:szCs w:val="20"/>
              </w:rPr>
              <w:t>s</w:t>
            </w:r>
            <w:r w:rsidRPr="00D231B0">
              <w:rPr>
                <w:rFonts w:ascii="Century Schoolbook" w:hAnsi="Century Schoolbook"/>
                <w:sz w:val="20"/>
                <w:szCs w:val="20"/>
              </w:rPr>
              <w:t xml:space="preserve"> were signed under which BPA would obtain transfer service for delivery of non-Federal resources to the customer.  Exhibit G list</w:t>
            </w:r>
            <w:r>
              <w:rPr>
                <w:rFonts w:ascii="Century Schoolbook" w:hAnsi="Century Schoolbook"/>
                <w:sz w:val="20"/>
                <w:szCs w:val="20"/>
              </w:rPr>
              <w:t>ed</w:t>
            </w:r>
            <w:r w:rsidRPr="00D231B0">
              <w:rPr>
                <w:rFonts w:ascii="Century Schoolbook" w:hAnsi="Century Schoolbook"/>
                <w:sz w:val="20"/>
                <w:szCs w:val="20"/>
              </w:rPr>
              <w:t xml:space="preserve"> the principles which </w:t>
            </w:r>
            <w:r>
              <w:rPr>
                <w:rFonts w:ascii="Century Schoolbook" w:hAnsi="Century Schoolbook"/>
                <w:sz w:val="20"/>
                <w:szCs w:val="20"/>
              </w:rPr>
              <w:t>formed</w:t>
            </w:r>
            <w:r w:rsidRPr="00D231B0">
              <w:rPr>
                <w:rFonts w:ascii="Century Schoolbook" w:hAnsi="Century Schoolbook"/>
                <w:sz w:val="20"/>
                <w:szCs w:val="20"/>
              </w:rPr>
              <w:t xml:space="preserve"> the basis for that stand-alone Agreement, which would become the Transfer Service Support for Non-Federal Resources Agreement (TSSA).</w:t>
            </w:r>
          </w:p>
        </w:tc>
        <w:tc>
          <w:tcPr>
            <w:tcW w:w="5310" w:type="dxa"/>
          </w:tcPr>
          <w:p w14:paraId="080C2610" w14:textId="0FA7AFFB" w:rsidR="008226ED" w:rsidRPr="000F0FBC" w:rsidRDefault="008226ED" w:rsidP="008226ED">
            <w:pPr>
              <w:rPr>
                <w:rFonts w:ascii="Century Schoolbook" w:hAnsi="Century Schoolbook"/>
                <w:sz w:val="20"/>
                <w:szCs w:val="20"/>
              </w:rPr>
            </w:pPr>
            <w:r w:rsidRPr="003476BF">
              <w:rPr>
                <w:rFonts w:ascii="Century Schoolbook" w:hAnsi="Century Schoolbook"/>
                <w:sz w:val="20"/>
                <w:szCs w:val="20"/>
              </w:rPr>
              <w:t xml:space="preserve">BPA </w:t>
            </w:r>
            <w:r>
              <w:rPr>
                <w:rFonts w:ascii="Century Schoolbook" w:hAnsi="Century Schoolbook"/>
                <w:sz w:val="20"/>
                <w:szCs w:val="20"/>
              </w:rPr>
              <w:t xml:space="preserve">has </w:t>
            </w:r>
            <w:r w:rsidRPr="003476BF">
              <w:rPr>
                <w:rFonts w:ascii="Century Schoolbook" w:hAnsi="Century Schoolbook"/>
                <w:sz w:val="20"/>
                <w:szCs w:val="20"/>
              </w:rPr>
              <w:t>fold</w:t>
            </w:r>
            <w:r>
              <w:rPr>
                <w:rFonts w:ascii="Century Schoolbook" w:hAnsi="Century Schoolbook"/>
                <w:sz w:val="20"/>
                <w:szCs w:val="20"/>
              </w:rPr>
              <w:t>ed</w:t>
            </w:r>
            <w:r w:rsidRPr="003476BF">
              <w:rPr>
                <w:rFonts w:ascii="Century Schoolbook" w:hAnsi="Century Schoolbook"/>
                <w:sz w:val="20"/>
                <w:szCs w:val="20"/>
              </w:rPr>
              <w:t xml:space="preserve"> the terms and conditions of the TSSA and the related Reimbursement Agreement into Exhibit G of the POC contract for administrative efficiency.</w:t>
            </w:r>
            <w:r>
              <w:rPr>
                <w:rFonts w:ascii="Century Schoolbook" w:hAnsi="Century Schoolbook"/>
                <w:sz w:val="20"/>
                <w:szCs w:val="20"/>
              </w:rPr>
              <w:t xml:space="preserve">  As such, the principles that were in the RD contract Exhibit G have been folded into the operative language of POC Exhibit G.</w:t>
            </w:r>
          </w:p>
        </w:tc>
      </w:tr>
      <w:tr w:rsidR="008226ED" w:rsidRPr="000F0FBC" w14:paraId="651A75C9" w14:textId="77777777" w:rsidTr="00801E11">
        <w:trPr>
          <w:cantSplit/>
        </w:trPr>
        <w:tc>
          <w:tcPr>
            <w:tcW w:w="1800" w:type="dxa"/>
          </w:tcPr>
          <w:p w14:paraId="288E4A2E" w14:textId="147E55E0" w:rsidR="008226ED" w:rsidRDefault="008226ED" w:rsidP="008226ED">
            <w:pPr>
              <w:rPr>
                <w:rFonts w:ascii="Century Schoolbook" w:hAnsi="Century Schoolbook"/>
                <w:sz w:val="20"/>
                <w:szCs w:val="20"/>
              </w:rPr>
            </w:pPr>
            <w:bookmarkStart w:id="2" w:name="_Hlk181013117"/>
            <w:r>
              <w:rPr>
                <w:rFonts w:ascii="Century Schoolbook" w:hAnsi="Century Schoolbook"/>
                <w:sz w:val="20"/>
                <w:szCs w:val="20"/>
              </w:rPr>
              <w:lastRenderedPageBreak/>
              <w:t>Exhibit H, Renewable Energy Certificates and Carbon Attributes</w:t>
            </w:r>
          </w:p>
        </w:tc>
        <w:tc>
          <w:tcPr>
            <w:tcW w:w="1800" w:type="dxa"/>
          </w:tcPr>
          <w:p w14:paraId="75C08CB1" w14:textId="7ED5C897" w:rsidR="008226ED" w:rsidRPr="000F0FBC" w:rsidRDefault="008226ED" w:rsidP="008226ED">
            <w:pPr>
              <w:rPr>
                <w:rFonts w:ascii="Century Schoolbook" w:hAnsi="Century Schoolbook"/>
                <w:sz w:val="20"/>
                <w:szCs w:val="20"/>
              </w:rPr>
            </w:pPr>
            <w:r>
              <w:rPr>
                <w:rFonts w:ascii="Century Schoolbook" w:hAnsi="Century Schoolbook"/>
                <w:sz w:val="20"/>
                <w:szCs w:val="20"/>
              </w:rPr>
              <w:t>Exhibit H, Renewable Energy Certificates and Environmental Attributes</w:t>
            </w:r>
          </w:p>
        </w:tc>
        <w:tc>
          <w:tcPr>
            <w:tcW w:w="5760" w:type="dxa"/>
          </w:tcPr>
          <w:p w14:paraId="76E2552A" w14:textId="575459CE" w:rsidR="008226ED" w:rsidRPr="000F0FBC" w:rsidRDefault="008226ED" w:rsidP="008226ED">
            <w:pPr>
              <w:rPr>
                <w:rFonts w:ascii="Century Schoolbook" w:hAnsi="Century Schoolbook"/>
                <w:sz w:val="20"/>
                <w:szCs w:val="20"/>
              </w:rPr>
            </w:pPr>
            <w:r w:rsidRPr="00211B1D">
              <w:rPr>
                <w:rFonts w:ascii="Century Schoolbook" w:hAnsi="Century Schoolbook"/>
                <w:sz w:val="20"/>
                <w:szCs w:val="20"/>
              </w:rPr>
              <w:t>Exhibit H provide</w:t>
            </w:r>
            <w:r>
              <w:rPr>
                <w:rFonts w:ascii="Century Schoolbook" w:hAnsi="Century Schoolbook"/>
                <w:sz w:val="20"/>
                <w:szCs w:val="20"/>
              </w:rPr>
              <w:t>s</w:t>
            </w:r>
            <w:r w:rsidRPr="00211B1D">
              <w:rPr>
                <w:rFonts w:ascii="Century Schoolbook" w:hAnsi="Century Schoolbook"/>
                <w:sz w:val="20"/>
                <w:szCs w:val="20"/>
              </w:rPr>
              <w:t xml:space="preserve"> the procedures for BPA’s transfer of RECs to customers and establishe</w:t>
            </w:r>
            <w:r>
              <w:rPr>
                <w:rFonts w:ascii="Century Schoolbook" w:hAnsi="Century Schoolbook"/>
                <w:sz w:val="20"/>
                <w:szCs w:val="20"/>
              </w:rPr>
              <w:t>d</w:t>
            </w:r>
            <w:r w:rsidRPr="00211B1D">
              <w:rPr>
                <w:rFonts w:ascii="Century Schoolbook" w:hAnsi="Century Schoolbook"/>
                <w:sz w:val="20"/>
                <w:szCs w:val="20"/>
              </w:rPr>
              <w:t xml:space="preserve"> the principles for distributing (any future) Carbon Credits.  Exhibit H was renegotiated and amended as part of the REP Settlement.</w:t>
            </w:r>
          </w:p>
        </w:tc>
        <w:tc>
          <w:tcPr>
            <w:tcW w:w="5310" w:type="dxa"/>
          </w:tcPr>
          <w:p w14:paraId="63EA17A1" w14:textId="2F16E41C" w:rsidR="008226ED" w:rsidRPr="000F0FBC" w:rsidRDefault="008226ED" w:rsidP="008226ED">
            <w:pPr>
              <w:rPr>
                <w:rFonts w:ascii="Century Schoolbook" w:hAnsi="Century Schoolbook"/>
                <w:sz w:val="20"/>
                <w:szCs w:val="20"/>
              </w:rPr>
            </w:pPr>
            <w:r>
              <w:rPr>
                <w:rFonts w:ascii="Century Schoolbook" w:hAnsi="Century Schoolbook"/>
                <w:sz w:val="20"/>
                <w:szCs w:val="20"/>
              </w:rPr>
              <w:t xml:space="preserve">Exhibit H governs BPA’s transfer of RECs and Environmental Attributes consistent with the POC final Policy and commensurate with the physical amount of power purchased.  BPA is proposing to </w:t>
            </w:r>
            <w:r w:rsidRPr="000C0905">
              <w:rPr>
                <w:rFonts w:ascii="Century Schoolbook" w:hAnsi="Century Schoolbook"/>
                <w:sz w:val="20"/>
                <w:szCs w:val="20"/>
              </w:rPr>
              <w:t>not</w:t>
            </w:r>
            <w:r>
              <w:rPr>
                <w:rFonts w:ascii="Century Schoolbook" w:hAnsi="Century Schoolbook"/>
                <w:sz w:val="20"/>
                <w:szCs w:val="20"/>
              </w:rPr>
              <w:t xml:space="preserve"> lock its Environmental Attribute allocation methodology down in the contract and, instead, would </w:t>
            </w:r>
            <w:r w:rsidRPr="000C0905">
              <w:rPr>
                <w:rFonts w:ascii="Century Schoolbook" w:hAnsi="Century Schoolbook"/>
                <w:sz w:val="20"/>
                <w:szCs w:val="20"/>
              </w:rPr>
              <w:t xml:space="preserve">engage customers through a public process after the conclusion of each Rate Case and prior to a new Rate Period during POC to determine the details of the allocation for the upcoming Rate Period.  </w:t>
            </w:r>
            <w:r w:rsidRPr="009A1F59">
              <w:rPr>
                <w:rFonts w:ascii="Century Schoolbook" w:hAnsi="Century Schoolbook"/>
                <w:sz w:val="20"/>
                <w:szCs w:val="20"/>
              </w:rPr>
              <w:t>BPA is also adding new language regarding a transfer of Emissions Allowances from customers to BPA, when BPA needs such Allowances to cover the customer’s state compliance obligations.</w:t>
            </w:r>
            <w:r>
              <w:rPr>
                <w:rFonts w:ascii="Century Schoolbook" w:hAnsi="Century Schoolbook"/>
                <w:sz w:val="20"/>
                <w:szCs w:val="20"/>
              </w:rPr>
              <w:t xml:space="preserve">  BPA is no longer offering to remarket RECs for customers.</w:t>
            </w:r>
          </w:p>
        </w:tc>
      </w:tr>
      <w:bookmarkEnd w:id="2"/>
      <w:tr w:rsidR="008226ED" w:rsidRPr="000F0FBC" w14:paraId="0128C037" w14:textId="77777777" w:rsidTr="00801E11">
        <w:trPr>
          <w:cantSplit/>
        </w:trPr>
        <w:tc>
          <w:tcPr>
            <w:tcW w:w="1800" w:type="dxa"/>
          </w:tcPr>
          <w:p w14:paraId="6F086BD6" w14:textId="088E5C7F" w:rsidR="008226ED" w:rsidRDefault="008226ED" w:rsidP="008226ED">
            <w:pPr>
              <w:rPr>
                <w:rFonts w:ascii="Century Schoolbook" w:hAnsi="Century Schoolbook"/>
                <w:sz w:val="20"/>
                <w:szCs w:val="20"/>
              </w:rPr>
            </w:pPr>
            <w:r>
              <w:rPr>
                <w:rFonts w:ascii="Century Schoolbook" w:hAnsi="Century Schoolbook"/>
                <w:sz w:val="20"/>
                <w:szCs w:val="20"/>
              </w:rPr>
              <w:t>Exhibit I, Critical Slice Amounts</w:t>
            </w:r>
          </w:p>
        </w:tc>
        <w:tc>
          <w:tcPr>
            <w:tcW w:w="1800" w:type="dxa"/>
          </w:tcPr>
          <w:p w14:paraId="311DD3CC" w14:textId="53A0F327" w:rsidR="008226ED" w:rsidRPr="000F0FBC" w:rsidRDefault="008226ED" w:rsidP="008226ED">
            <w:pPr>
              <w:rPr>
                <w:rFonts w:ascii="Century Schoolbook" w:hAnsi="Century Schoolbook"/>
                <w:sz w:val="20"/>
                <w:szCs w:val="20"/>
              </w:rPr>
            </w:pPr>
            <w:r>
              <w:rPr>
                <w:rFonts w:ascii="Century Schoolbook" w:hAnsi="Century Schoolbook"/>
                <w:sz w:val="20"/>
                <w:szCs w:val="20"/>
              </w:rPr>
              <w:t>N/A</w:t>
            </w:r>
          </w:p>
        </w:tc>
        <w:tc>
          <w:tcPr>
            <w:tcW w:w="5760" w:type="dxa"/>
          </w:tcPr>
          <w:p w14:paraId="6053180B" w14:textId="0FDEA545" w:rsidR="008226ED" w:rsidRPr="000F0FBC" w:rsidRDefault="008226ED" w:rsidP="008226ED">
            <w:pPr>
              <w:rPr>
                <w:rFonts w:ascii="Century Schoolbook" w:hAnsi="Century Schoolbook"/>
                <w:sz w:val="20"/>
                <w:szCs w:val="20"/>
              </w:rPr>
            </w:pPr>
            <w:r>
              <w:rPr>
                <w:rFonts w:ascii="Century Schoolbook" w:hAnsi="Century Schoolbook"/>
                <w:sz w:val="20"/>
                <w:szCs w:val="20"/>
              </w:rPr>
              <w:t>Exhibit I section 1 states the Adjusted Annual RHWM Tier 1 System.  Section 2 describe how BPA calculated Critical Slice amounts AART1SC * Slice % and stated the Customer’s monthly Critical Slice Amount in aMW and MWH.</w:t>
            </w:r>
          </w:p>
        </w:tc>
        <w:tc>
          <w:tcPr>
            <w:tcW w:w="5310" w:type="dxa"/>
          </w:tcPr>
          <w:p w14:paraId="73521840" w14:textId="77410472" w:rsidR="008226ED" w:rsidRPr="00BB081F" w:rsidRDefault="008226ED" w:rsidP="008226ED">
            <w:pPr>
              <w:rPr>
                <w:rFonts w:ascii="Century Schoolbook" w:hAnsi="Century Schoolbook"/>
                <w:sz w:val="20"/>
                <w:szCs w:val="20"/>
              </w:rPr>
            </w:pPr>
            <w:r w:rsidRPr="00BB081F">
              <w:rPr>
                <w:rFonts w:ascii="Century Schoolbook" w:hAnsi="Century Schoolbook"/>
                <w:sz w:val="20"/>
                <w:szCs w:val="20"/>
              </w:rPr>
              <w:t xml:space="preserve">RD Exhibit I section 1 (AART1SC) has been deleted. </w:t>
            </w:r>
          </w:p>
          <w:p w14:paraId="56F6EAE2" w14:textId="77777777" w:rsidR="008226ED" w:rsidRDefault="008226ED" w:rsidP="008226ED">
            <w:pPr>
              <w:rPr>
                <w:rFonts w:ascii="Century Schoolbook" w:hAnsi="Century Schoolbook"/>
                <w:sz w:val="20"/>
                <w:szCs w:val="20"/>
              </w:rPr>
            </w:pPr>
          </w:p>
          <w:p w14:paraId="6ECE3D27" w14:textId="6379E945" w:rsidR="008226ED" w:rsidRPr="00BB081F" w:rsidRDefault="008226ED" w:rsidP="008226ED">
            <w:pPr>
              <w:rPr>
                <w:rFonts w:ascii="Century Schoolbook" w:hAnsi="Century Schoolbook"/>
                <w:sz w:val="20"/>
                <w:szCs w:val="20"/>
              </w:rPr>
            </w:pPr>
            <w:r w:rsidRPr="00BB081F">
              <w:rPr>
                <w:rFonts w:ascii="Century Schoolbook" w:hAnsi="Century Schoolbook"/>
                <w:sz w:val="20"/>
                <w:szCs w:val="20"/>
              </w:rPr>
              <w:t>RD Exhibit I, section 2 (Firm Slice Amount) has been moved to Exhibit K, section 3.</w:t>
            </w:r>
          </w:p>
        </w:tc>
      </w:tr>
      <w:tr w:rsidR="008226ED" w:rsidRPr="000F0FBC" w14:paraId="1BD21FA6" w14:textId="77777777" w:rsidTr="00801E11">
        <w:trPr>
          <w:cantSplit/>
        </w:trPr>
        <w:tc>
          <w:tcPr>
            <w:tcW w:w="1800" w:type="dxa"/>
          </w:tcPr>
          <w:p w14:paraId="6EAA3D73" w14:textId="68E7B5FD" w:rsidR="008226ED" w:rsidRPr="00753CC9" w:rsidRDefault="008226ED" w:rsidP="008226ED">
            <w:pPr>
              <w:rPr>
                <w:rFonts w:ascii="Century Schoolbook" w:hAnsi="Century Schoolbook"/>
                <w:sz w:val="20"/>
                <w:szCs w:val="20"/>
              </w:rPr>
            </w:pPr>
            <w:r w:rsidRPr="00753CC9">
              <w:rPr>
                <w:rFonts w:ascii="Century Schoolbook" w:hAnsi="Century Schoolbook"/>
                <w:sz w:val="20"/>
                <w:szCs w:val="20"/>
              </w:rPr>
              <w:t>20. Notices and Contact Information</w:t>
            </w:r>
          </w:p>
        </w:tc>
        <w:tc>
          <w:tcPr>
            <w:tcW w:w="1800" w:type="dxa"/>
          </w:tcPr>
          <w:p w14:paraId="140450C1" w14:textId="1C3D8DF8" w:rsidR="008226ED" w:rsidRPr="00753CC9" w:rsidRDefault="008226ED" w:rsidP="008226ED">
            <w:pPr>
              <w:rPr>
                <w:rFonts w:ascii="Century Schoolbook" w:hAnsi="Century Schoolbook"/>
                <w:sz w:val="20"/>
                <w:szCs w:val="20"/>
              </w:rPr>
            </w:pPr>
            <w:r w:rsidRPr="00753CC9">
              <w:rPr>
                <w:rFonts w:ascii="Century Schoolbook" w:hAnsi="Century Schoolbook"/>
                <w:sz w:val="20"/>
                <w:szCs w:val="20"/>
              </w:rPr>
              <w:t>Exhibit I, Notices and Contact Information</w:t>
            </w:r>
          </w:p>
        </w:tc>
        <w:tc>
          <w:tcPr>
            <w:tcW w:w="5760" w:type="dxa"/>
          </w:tcPr>
          <w:p w14:paraId="049AA5DA" w14:textId="6B76F5FF" w:rsidR="008226ED" w:rsidRPr="00753CC9" w:rsidRDefault="008226ED" w:rsidP="008226ED">
            <w:pPr>
              <w:rPr>
                <w:rFonts w:ascii="Century Schoolbook" w:hAnsi="Century Schoolbook"/>
                <w:sz w:val="20"/>
                <w:szCs w:val="20"/>
              </w:rPr>
            </w:pPr>
            <w:r w:rsidRPr="00753CC9">
              <w:rPr>
                <w:rFonts w:ascii="Century Schoolbook" w:hAnsi="Century Schoolbook"/>
                <w:sz w:val="20"/>
                <w:szCs w:val="20"/>
              </w:rPr>
              <w:t xml:space="preserve">See RD </w:t>
            </w:r>
            <w:r>
              <w:rPr>
                <w:rFonts w:ascii="Century Schoolbook" w:hAnsi="Century Schoolbook"/>
                <w:sz w:val="20"/>
                <w:szCs w:val="20"/>
              </w:rPr>
              <w:t>s</w:t>
            </w:r>
            <w:r w:rsidRPr="00753CC9">
              <w:rPr>
                <w:rFonts w:ascii="Century Schoolbook" w:hAnsi="Century Schoolbook"/>
                <w:sz w:val="20"/>
                <w:szCs w:val="20"/>
              </w:rPr>
              <w:t>ection 20</w:t>
            </w:r>
            <w:r>
              <w:rPr>
                <w:rFonts w:ascii="Century Schoolbook" w:hAnsi="Century Schoolbook"/>
                <w:sz w:val="20"/>
                <w:szCs w:val="20"/>
              </w:rPr>
              <w:t xml:space="preserve"> d</w:t>
            </w:r>
            <w:r w:rsidRPr="00753CC9">
              <w:rPr>
                <w:rFonts w:ascii="Century Schoolbook" w:hAnsi="Century Schoolbook"/>
                <w:sz w:val="20"/>
                <w:szCs w:val="20"/>
              </w:rPr>
              <w:t>escription above.</w:t>
            </w:r>
          </w:p>
        </w:tc>
        <w:tc>
          <w:tcPr>
            <w:tcW w:w="5310" w:type="dxa"/>
          </w:tcPr>
          <w:p w14:paraId="3BD95657" w14:textId="461DEC64" w:rsidR="008226ED" w:rsidRPr="00AB2C3F" w:rsidRDefault="008226ED" w:rsidP="008226ED">
            <w:pPr>
              <w:rPr>
                <w:rFonts w:ascii="Century Schoolbook" w:hAnsi="Century Schoolbook"/>
                <w:sz w:val="20"/>
                <w:szCs w:val="20"/>
                <w:highlight w:val="yellow"/>
              </w:rPr>
            </w:pPr>
            <w:r>
              <w:rPr>
                <w:rFonts w:ascii="Century Schoolbook" w:hAnsi="Century Schoolbook"/>
                <w:sz w:val="20"/>
                <w:szCs w:val="20"/>
              </w:rPr>
              <w:t>For administrative efficiencies, BPA moved the Notices and Contact information into an exhibit.  A few changes, other than location, include: BPA will have the unilateral right to update the contact information upon notice of a change to a party’s contact information; POC will allow for a party, upon request, to have more than one contact person listed in Exhibit I; and BPA added a section for the parties’ operational contacts needed for everyday administration of the POC contract.</w:t>
            </w:r>
          </w:p>
        </w:tc>
      </w:tr>
      <w:tr w:rsidR="008226ED" w:rsidRPr="000F0FBC" w14:paraId="1E89F7EB" w14:textId="77777777" w:rsidTr="00801E11">
        <w:trPr>
          <w:cantSplit/>
        </w:trPr>
        <w:tc>
          <w:tcPr>
            <w:tcW w:w="1800" w:type="dxa"/>
          </w:tcPr>
          <w:p w14:paraId="66E27CC9" w14:textId="1EE14631" w:rsidR="008226ED" w:rsidRDefault="008226ED" w:rsidP="008226ED">
            <w:pPr>
              <w:rPr>
                <w:rFonts w:ascii="Century Schoolbook" w:hAnsi="Century Schoolbook"/>
                <w:sz w:val="20"/>
                <w:szCs w:val="20"/>
              </w:rPr>
            </w:pPr>
            <w:r>
              <w:rPr>
                <w:rFonts w:ascii="Century Schoolbook" w:hAnsi="Century Schoolbook"/>
                <w:sz w:val="20"/>
                <w:szCs w:val="20"/>
              </w:rPr>
              <w:t>Exhibit J, Preliminary Slice Percentage and Initial Slice Percentage</w:t>
            </w:r>
          </w:p>
        </w:tc>
        <w:tc>
          <w:tcPr>
            <w:tcW w:w="1800" w:type="dxa"/>
          </w:tcPr>
          <w:p w14:paraId="19DA163F" w14:textId="1150101B" w:rsidR="008226ED" w:rsidRPr="00B43E76" w:rsidRDefault="008226ED" w:rsidP="008226ED">
            <w:pPr>
              <w:rPr>
                <w:rFonts w:ascii="Century Schoolbook" w:hAnsi="Century Schoolbook"/>
                <w:sz w:val="20"/>
                <w:szCs w:val="20"/>
              </w:rPr>
            </w:pPr>
            <w:r w:rsidRPr="00753CC9">
              <w:rPr>
                <w:rFonts w:ascii="Century Schoolbook" w:hAnsi="Century Schoolbook"/>
                <w:sz w:val="20"/>
                <w:szCs w:val="20"/>
              </w:rPr>
              <w:t>N/A</w:t>
            </w:r>
          </w:p>
        </w:tc>
        <w:tc>
          <w:tcPr>
            <w:tcW w:w="5760" w:type="dxa"/>
          </w:tcPr>
          <w:p w14:paraId="5E941F97" w14:textId="65C101C7" w:rsidR="008226ED" w:rsidRPr="000F0FBC" w:rsidRDefault="008226ED" w:rsidP="008226ED">
            <w:pPr>
              <w:rPr>
                <w:rFonts w:ascii="Century Schoolbook" w:hAnsi="Century Schoolbook"/>
                <w:sz w:val="20"/>
                <w:szCs w:val="20"/>
              </w:rPr>
            </w:pPr>
            <w:r w:rsidRPr="00B43E76">
              <w:rPr>
                <w:rFonts w:ascii="Century Schoolbook" w:hAnsi="Century Schoolbook"/>
                <w:sz w:val="20"/>
                <w:szCs w:val="20"/>
              </w:rPr>
              <w:t>Preliminary Slice Percentage was the Slice percentage request by customer before adjustment for Unsold Slice Amount and Maximum Additional Slice</w:t>
            </w:r>
            <w:r>
              <w:rPr>
                <w:rFonts w:ascii="Century Schoolbook" w:hAnsi="Century Schoolbook"/>
                <w:sz w:val="20"/>
                <w:szCs w:val="20"/>
              </w:rPr>
              <w:t xml:space="preserve">.  </w:t>
            </w:r>
            <w:r w:rsidRPr="00B43E76">
              <w:rPr>
                <w:rFonts w:ascii="Century Schoolbook" w:hAnsi="Century Schoolbook"/>
                <w:sz w:val="20"/>
                <w:szCs w:val="20"/>
              </w:rPr>
              <w:t>Initial Slice Percentage is Preliminary Slice Percentage with Unsold Slice Amount and Maximum Additional Slice</w:t>
            </w:r>
            <w:r>
              <w:rPr>
                <w:rFonts w:ascii="Century Schoolbook" w:hAnsi="Century Schoolbook"/>
                <w:sz w:val="20"/>
                <w:szCs w:val="20"/>
              </w:rPr>
              <w:t>.</w:t>
            </w:r>
          </w:p>
        </w:tc>
        <w:tc>
          <w:tcPr>
            <w:tcW w:w="5310" w:type="dxa"/>
          </w:tcPr>
          <w:p w14:paraId="738CC03D" w14:textId="1102370A" w:rsidR="008226ED" w:rsidRPr="00217FC8" w:rsidRDefault="008226ED" w:rsidP="008226ED">
            <w:pPr>
              <w:rPr>
                <w:rFonts w:ascii="Century Schoolbook" w:hAnsi="Century Schoolbook"/>
                <w:sz w:val="20"/>
                <w:szCs w:val="20"/>
              </w:rPr>
            </w:pPr>
            <w:r w:rsidRPr="00753CC9">
              <w:rPr>
                <w:rFonts w:ascii="Century Schoolbook" w:hAnsi="Century Schoolbook"/>
                <w:sz w:val="20"/>
                <w:szCs w:val="20"/>
              </w:rPr>
              <w:t>RD Exhibit J, Preliminary Slice Percentage and Initial Slice Percentage has been deleted.</w:t>
            </w:r>
          </w:p>
        </w:tc>
      </w:tr>
      <w:tr w:rsidR="008226ED" w:rsidRPr="000F0FBC" w14:paraId="30D07607" w14:textId="77777777" w:rsidTr="00801E11">
        <w:trPr>
          <w:cantSplit/>
        </w:trPr>
        <w:tc>
          <w:tcPr>
            <w:tcW w:w="1800" w:type="dxa"/>
          </w:tcPr>
          <w:p w14:paraId="68C3D871" w14:textId="4057EB2B" w:rsidR="008226ED" w:rsidRDefault="008226ED" w:rsidP="008226ED">
            <w:pPr>
              <w:rPr>
                <w:rFonts w:ascii="Century Schoolbook" w:hAnsi="Century Schoolbook"/>
                <w:sz w:val="20"/>
                <w:szCs w:val="20"/>
              </w:rPr>
            </w:pPr>
            <w:r>
              <w:rPr>
                <w:rFonts w:ascii="Century Schoolbook" w:hAnsi="Century Schoolbook"/>
                <w:sz w:val="20"/>
                <w:szCs w:val="20"/>
              </w:rPr>
              <w:lastRenderedPageBreak/>
              <w:t>N/A</w:t>
            </w:r>
          </w:p>
        </w:tc>
        <w:tc>
          <w:tcPr>
            <w:tcW w:w="1800" w:type="dxa"/>
          </w:tcPr>
          <w:p w14:paraId="3C5360A9" w14:textId="64D0A3DB" w:rsidR="008226ED" w:rsidRPr="00753CC9" w:rsidRDefault="008226ED" w:rsidP="008226ED">
            <w:pPr>
              <w:rPr>
                <w:rFonts w:ascii="Century Schoolbook" w:hAnsi="Century Schoolbook"/>
                <w:sz w:val="20"/>
                <w:szCs w:val="20"/>
              </w:rPr>
            </w:pPr>
            <w:r w:rsidRPr="00753CC9">
              <w:rPr>
                <w:rFonts w:ascii="Century Schoolbook" w:hAnsi="Century Schoolbook"/>
                <w:sz w:val="20"/>
                <w:szCs w:val="20"/>
              </w:rPr>
              <w:t>Exhibit J, Additional Resource and Energy Storage Device Requirements</w:t>
            </w:r>
          </w:p>
        </w:tc>
        <w:tc>
          <w:tcPr>
            <w:tcW w:w="5760" w:type="dxa"/>
          </w:tcPr>
          <w:p w14:paraId="65B005AA" w14:textId="74937D4B" w:rsidR="008226ED" w:rsidRPr="00217FC8" w:rsidRDefault="008226ED" w:rsidP="008226ED">
            <w:pPr>
              <w:rPr>
                <w:rFonts w:ascii="Century Schoolbook" w:hAnsi="Century Schoolbook"/>
                <w:sz w:val="20"/>
                <w:szCs w:val="20"/>
              </w:rPr>
            </w:pPr>
            <w:r>
              <w:rPr>
                <w:rFonts w:ascii="Century Schoolbook" w:hAnsi="Century Schoolbook"/>
                <w:sz w:val="20"/>
                <w:szCs w:val="20"/>
              </w:rPr>
              <w:t>This provision was not in RD.</w:t>
            </w:r>
          </w:p>
        </w:tc>
        <w:tc>
          <w:tcPr>
            <w:tcW w:w="5310" w:type="dxa"/>
          </w:tcPr>
          <w:p w14:paraId="0B07E81D" w14:textId="608A1427" w:rsidR="008226ED" w:rsidRDefault="008226ED" w:rsidP="008226ED">
            <w:pPr>
              <w:pStyle w:val="ListParagraph"/>
              <w:ind w:left="0"/>
              <w:rPr>
                <w:rFonts w:ascii="Century Schoolbook" w:hAnsi="Century Schoolbook"/>
                <w:sz w:val="20"/>
                <w:szCs w:val="20"/>
              </w:rPr>
            </w:pPr>
            <w:r>
              <w:rPr>
                <w:rFonts w:ascii="Century Schoolbook" w:hAnsi="Century Schoolbook"/>
                <w:sz w:val="20"/>
                <w:szCs w:val="20"/>
              </w:rPr>
              <w:t>This</w:t>
            </w:r>
            <w:r w:rsidRPr="00217FC8">
              <w:rPr>
                <w:rFonts w:ascii="Century Schoolbook" w:hAnsi="Century Schoolbook"/>
                <w:sz w:val="20"/>
                <w:szCs w:val="20"/>
              </w:rPr>
              <w:t xml:space="preserve"> new exhibit </w:t>
            </w:r>
            <w:r>
              <w:rPr>
                <w:rFonts w:ascii="Century Schoolbook" w:hAnsi="Century Schoolbook"/>
                <w:sz w:val="20"/>
                <w:szCs w:val="20"/>
              </w:rPr>
              <w:t>identifies</w:t>
            </w:r>
            <w:r w:rsidRPr="00217FC8">
              <w:rPr>
                <w:rFonts w:ascii="Century Schoolbook" w:hAnsi="Century Schoolbook"/>
                <w:sz w:val="20"/>
                <w:szCs w:val="20"/>
              </w:rPr>
              <w:t xml:space="preserve"> </w:t>
            </w:r>
            <w:r>
              <w:rPr>
                <w:rFonts w:ascii="Century Schoolbook" w:hAnsi="Century Schoolbook"/>
                <w:sz w:val="20"/>
                <w:szCs w:val="20"/>
              </w:rPr>
              <w:t>a customer’s r</w:t>
            </w:r>
            <w:r w:rsidRPr="00217FC8">
              <w:rPr>
                <w:rFonts w:ascii="Century Schoolbook" w:hAnsi="Century Schoolbook"/>
                <w:sz w:val="20"/>
                <w:szCs w:val="20"/>
              </w:rPr>
              <w:t xml:space="preserve">esource and </w:t>
            </w:r>
            <w:r>
              <w:rPr>
                <w:rFonts w:ascii="Century Schoolbook" w:hAnsi="Century Schoolbook"/>
                <w:sz w:val="20"/>
                <w:szCs w:val="20"/>
              </w:rPr>
              <w:t>E</w:t>
            </w:r>
            <w:r w:rsidRPr="00217FC8">
              <w:rPr>
                <w:rFonts w:ascii="Century Schoolbook" w:hAnsi="Century Schoolbook"/>
                <w:sz w:val="20"/>
                <w:szCs w:val="20"/>
              </w:rPr>
              <w:t xml:space="preserve">nergy </w:t>
            </w:r>
            <w:r>
              <w:rPr>
                <w:rFonts w:ascii="Century Schoolbook" w:hAnsi="Century Schoolbook"/>
                <w:sz w:val="20"/>
                <w:szCs w:val="20"/>
              </w:rPr>
              <w:t>S</w:t>
            </w:r>
            <w:r w:rsidRPr="00217FC8">
              <w:rPr>
                <w:rFonts w:ascii="Century Schoolbook" w:hAnsi="Century Schoolbook"/>
                <w:sz w:val="20"/>
                <w:szCs w:val="20"/>
              </w:rPr>
              <w:t xml:space="preserve">torage </w:t>
            </w:r>
            <w:r>
              <w:rPr>
                <w:rFonts w:ascii="Century Schoolbook" w:hAnsi="Century Schoolbook"/>
                <w:sz w:val="20"/>
                <w:szCs w:val="20"/>
              </w:rPr>
              <w:t>D</w:t>
            </w:r>
            <w:r w:rsidRPr="00217FC8">
              <w:rPr>
                <w:rFonts w:ascii="Century Schoolbook" w:hAnsi="Century Schoolbook"/>
                <w:sz w:val="20"/>
                <w:szCs w:val="20"/>
              </w:rPr>
              <w:t>evice</w:t>
            </w:r>
            <w:r>
              <w:rPr>
                <w:rFonts w:ascii="Century Schoolbook" w:hAnsi="Century Schoolbook"/>
                <w:sz w:val="20"/>
                <w:szCs w:val="20"/>
              </w:rPr>
              <w:t>-</w:t>
            </w:r>
            <w:r w:rsidRPr="00217FC8">
              <w:rPr>
                <w:rFonts w:ascii="Century Schoolbook" w:hAnsi="Century Schoolbook"/>
                <w:sz w:val="20"/>
                <w:szCs w:val="20"/>
              </w:rPr>
              <w:t xml:space="preserve">related elections and requirements.  </w:t>
            </w:r>
            <w:r>
              <w:rPr>
                <w:rFonts w:ascii="Century Schoolbook" w:hAnsi="Century Schoolbook"/>
                <w:sz w:val="20"/>
                <w:szCs w:val="20"/>
              </w:rPr>
              <w:t>S</w:t>
            </w:r>
            <w:r w:rsidRPr="00217FC8">
              <w:rPr>
                <w:rFonts w:ascii="Century Schoolbook" w:hAnsi="Century Schoolbook"/>
                <w:sz w:val="20"/>
                <w:szCs w:val="20"/>
              </w:rPr>
              <w:t>everal new resource</w:t>
            </w:r>
            <w:r>
              <w:rPr>
                <w:rFonts w:ascii="Century Schoolbook" w:hAnsi="Century Schoolbook"/>
                <w:sz w:val="20"/>
                <w:szCs w:val="20"/>
              </w:rPr>
              <w:t>-</w:t>
            </w:r>
            <w:r w:rsidRPr="00217FC8">
              <w:rPr>
                <w:rFonts w:ascii="Century Schoolbook" w:hAnsi="Century Schoolbook"/>
                <w:sz w:val="20"/>
                <w:szCs w:val="20"/>
              </w:rPr>
              <w:t xml:space="preserve">related </w:t>
            </w:r>
            <w:r>
              <w:rPr>
                <w:rFonts w:ascii="Century Schoolbook" w:hAnsi="Century Schoolbook"/>
                <w:sz w:val="20"/>
                <w:szCs w:val="20"/>
              </w:rPr>
              <w:t xml:space="preserve">services, options and </w:t>
            </w:r>
            <w:r w:rsidRPr="00217FC8">
              <w:rPr>
                <w:rFonts w:ascii="Century Schoolbook" w:hAnsi="Century Schoolbook"/>
                <w:sz w:val="20"/>
                <w:szCs w:val="20"/>
              </w:rPr>
              <w:t xml:space="preserve">requirements developed during </w:t>
            </w:r>
            <w:r>
              <w:rPr>
                <w:rFonts w:ascii="Century Schoolbook" w:hAnsi="Century Schoolbook"/>
                <w:sz w:val="20"/>
                <w:szCs w:val="20"/>
              </w:rPr>
              <w:t>RD or</w:t>
            </w:r>
            <w:r w:rsidRPr="00217FC8">
              <w:rPr>
                <w:rFonts w:ascii="Century Schoolbook" w:hAnsi="Century Schoolbook"/>
                <w:sz w:val="20"/>
                <w:szCs w:val="20"/>
              </w:rPr>
              <w:t xml:space="preserve"> introduced under </w:t>
            </w:r>
            <w:r>
              <w:rPr>
                <w:rFonts w:ascii="Century Schoolbook" w:hAnsi="Century Schoolbook"/>
                <w:sz w:val="20"/>
                <w:szCs w:val="20"/>
              </w:rPr>
              <w:t>POC are included in this exhibit:</w:t>
            </w:r>
          </w:p>
          <w:p w14:paraId="514A6B15" w14:textId="69D92C26"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Resource Support Services (RSS)</w:t>
            </w:r>
          </w:p>
          <w:p w14:paraId="2D8D3454" w14:textId="19644BCC"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Energy Storage Devices</w:t>
            </w:r>
          </w:p>
          <w:p w14:paraId="12D13262" w14:textId="1BB21F4A"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Tier 1 Allowance Amount</w:t>
            </w:r>
          </w:p>
          <w:p w14:paraId="4C9D84D5" w14:textId="12E66B94"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Existing Dispatchable Resource Capacity Shaping Requirements</w:t>
            </w:r>
          </w:p>
          <w:p w14:paraId="1B588634" w14:textId="77AA25BC"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Resource Adequacy Requirements and WRAP pass-through charges</w:t>
            </w:r>
          </w:p>
          <w:p w14:paraId="70D30862" w14:textId="210238FC"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Non-federal Network Resource information for Transfer Service</w:t>
            </w:r>
          </w:p>
          <w:p w14:paraId="2CD63588" w14:textId="4362B53D" w:rsidR="008226ED" w:rsidRPr="00342841" w:rsidRDefault="008226ED" w:rsidP="008226ED">
            <w:pPr>
              <w:rPr>
                <w:rFonts w:ascii="Century Schoolbook" w:hAnsi="Century Schoolbook"/>
                <w:sz w:val="20"/>
                <w:szCs w:val="20"/>
              </w:rPr>
            </w:pPr>
            <w:r w:rsidRPr="00342841">
              <w:rPr>
                <w:rFonts w:ascii="Century Schoolbook" w:hAnsi="Century Schoolbook"/>
                <w:sz w:val="20"/>
                <w:szCs w:val="20"/>
              </w:rPr>
              <w:t>Exhibit J also captures specific elections</w:t>
            </w:r>
            <w:r>
              <w:rPr>
                <w:rFonts w:ascii="Century Schoolbook" w:hAnsi="Century Schoolbook"/>
                <w:sz w:val="20"/>
                <w:szCs w:val="20"/>
              </w:rPr>
              <w:t xml:space="preserve"> and</w:t>
            </w:r>
            <w:r w:rsidRPr="00342841">
              <w:rPr>
                <w:rFonts w:ascii="Century Schoolbook" w:hAnsi="Century Schoolbook"/>
                <w:sz w:val="20"/>
                <w:szCs w:val="20"/>
              </w:rPr>
              <w:t xml:space="preserve"> requirements by resource to better organize the resource-related exhibit information for clarity, ease and administrative efficiency.</w:t>
            </w:r>
          </w:p>
        </w:tc>
      </w:tr>
      <w:tr w:rsidR="008226ED" w:rsidRPr="000F0FBC" w14:paraId="4819DBF0" w14:textId="77777777" w:rsidTr="00801E11">
        <w:trPr>
          <w:cantSplit/>
        </w:trPr>
        <w:tc>
          <w:tcPr>
            <w:tcW w:w="1800" w:type="dxa"/>
          </w:tcPr>
          <w:p w14:paraId="5F3B0967" w14:textId="17F09305" w:rsidR="008226ED" w:rsidRPr="00A67629" w:rsidRDefault="008226ED" w:rsidP="008226ED">
            <w:pPr>
              <w:rPr>
                <w:rFonts w:ascii="Century Schoolbook" w:hAnsi="Century Schoolbook"/>
                <w:sz w:val="20"/>
                <w:szCs w:val="20"/>
              </w:rPr>
            </w:pPr>
            <w:r w:rsidRPr="00A67629">
              <w:rPr>
                <w:rFonts w:ascii="Century Schoolbook" w:hAnsi="Century Schoolbook"/>
                <w:sz w:val="20"/>
                <w:szCs w:val="20"/>
              </w:rPr>
              <w:t>Exhibit K, Annual Determination of Slice Percentage</w:t>
            </w:r>
          </w:p>
        </w:tc>
        <w:tc>
          <w:tcPr>
            <w:tcW w:w="1800" w:type="dxa"/>
          </w:tcPr>
          <w:p w14:paraId="76E48CE8" w14:textId="78004322" w:rsidR="008226ED" w:rsidRPr="000F0FBC" w:rsidRDefault="008226ED" w:rsidP="008226ED">
            <w:pPr>
              <w:rPr>
                <w:rFonts w:ascii="Century Schoolbook" w:hAnsi="Century Schoolbook"/>
                <w:sz w:val="20"/>
                <w:szCs w:val="20"/>
              </w:rPr>
            </w:pPr>
            <w:r>
              <w:rPr>
                <w:rFonts w:ascii="Century Schoolbook" w:hAnsi="Century Schoolbook"/>
                <w:sz w:val="20"/>
                <w:szCs w:val="20"/>
              </w:rPr>
              <w:t>Exhibit K, Annual Slice Percentage and Firm Slice Amounts</w:t>
            </w:r>
          </w:p>
        </w:tc>
        <w:tc>
          <w:tcPr>
            <w:tcW w:w="5760" w:type="dxa"/>
          </w:tcPr>
          <w:p w14:paraId="3D067E3F" w14:textId="7A9E64BC" w:rsidR="008226ED" w:rsidRDefault="008226ED" w:rsidP="008226ED">
            <w:pPr>
              <w:rPr>
                <w:rFonts w:ascii="Century Schoolbook" w:hAnsi="Century Schoolbook"/>
                <w:sz w:val="20"/>
                <w:szCs w:val="20"/>
              </w:rPr>
            </w:pPr>
            <w:r>
              <w:rPr>
                <w:rFonts w:ascii="Century Schoolbook" w:hAnsi="Century Schoolbook"/>
                <w:sz w:val="20"/>
                <w:szCs w:val="20"/>
              </w:rPr>
              <w:t>Exhibit K includes the following items:</w:t>
            </w:r>
          </w:p>
          <w:p w14:paraId="39239585" w14:textId="4EE1870B"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Section 1.1 Definitions</w:t>
            </w:r>
          </w:p>
          <w:p w14:paraId="25E9A211" w14:textId="3EAE208D"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Section 1.2 Slice Percentage Adjustment Ratio: Adjusted Slice Customers’ Initial Slice Percentage for changes in annual Tier 1 System Capability</w:t>
            </w:r>
          </w:p>
          <w:p w14:paraId="63BC1788" w14:textId="67BB90E8"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Section 1.3 Adjustments for Annual Net requirement less than AART1SC*ISP*SPAR</w:t>
            </w:r>
          </w:p>
          <w:p w14:paraId="38FE8DFA" w14:textId="68146E8B" w:rsidR="008226ED" w:rsidRPr="000F0FBC"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Section 2: annual Slice Percentage.</w:t>
            </w:r>
          </w:p>
        </w:tc>
        <w:tc>
          <w:tcPr>
            <w:tcW w:w="5310" w:type="dxa"/>
          </w:tcPr>
          <w:p w14:paraId="207C073E" w14:textId="135533F2" w:rsidR="008226ED" w:rsidRDefault="008226ED" w:rsidP="008226ED">
            <w:pPr>
              <w:rPr>
                <w:rFonts w:ascii="Century Schoolbook" w:hAnsi="Century Schoolbook"/>
                <w:sz w:val="20"/>
                <w:szCs w:val="20"/>
              </w:rPr>
            </w:pPr>
            <w:r>
              <w:rPr>
                <w:rFonts w:ascii="Century Schoolbook" w:hAnsi="Century Schoolbook"/>
                <w:sz w:val="20"/>
                <w:szCs w:val="20"/>
              </w:rPr>
              <w:t>Exhibit K provides the following items, consolidates amounts that were in multiple RD exhibits:</w:t>
            </w:r>
          </w:p>
          <w:p w14:paraId="6B898D1F" w14:textId="75F704B2"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Section 1: Annual Slice Percentage:  inputs and Slice Percentage calculated pursuant to section 5.3.</w:t>
            </w:r>
          </w:p>
          <w:p w14:paraId="4035E0CC" w14:textId="54C525AE" w:rsidR="008226ED"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Section 2: Annual CHWM: monthly amounts</w:t>
            </w:r>
          </w:p>
          <w:p w14:paraId="189986AA" w14:textId="32D39D25" w:rsidR="008226ED" w:rsidRPr="000F0FBC" w:rsidRDefault="008226ED" w:rsidP="008226ED">
            <w:pPr>
              <w:pStyle w:val="ListParagraph"/>
              <w:numPr>
                <w:ilvl w:val="0"/>
                <w:numId w:val="5"/>
              </w:numPr>
              <w:rPr>
                <w:rFonts w:ascii="Century Schoolbook" w:hAnsi="Century Schoolbook"/>
                <w:sz w:val="20"/>
                <w:szCs w:val="20"/>
              </w:rPr>
            </w:pPr>
            <w:r>
              <w:rPr>
                <w:rFonts w:ascii="Century Schoolbook" w:hAnsi="Century Schoolbook"/>
                <w:sz w:val="20"/>
                <w:szCs w:val="20"/>
              </w:rPr>
              <w:t>Section 3: Firm Slice Amount: monthly amount stated in aMW and MWH, calculated pursuant to section 5.4.</w:t>
            </w:r>
          </w:p>
        </w:tc>
      </w:tr>
      <w:tr w:rsidR="008226ED" w:rsidRPr="000F0FBC" w14:paraId="0AF3103F" w14:textId="77777777" w:rsidTr="00801E11">
        <w:trPr>
          <w:cantSplit/>
        </w:trPr>
        <w:tc>
          <w:tcPr>
            <w:tcW w:w="1800" w:type="dxa"/>
          </w:tcPr>
          <w:p w14:paraId="76FE07CB" w14:textId="472752E7" w:rsidR="008226ED" w:rsidRPr="00A67629" w:rsidRDefault="008226ED" w:rsidP="008226ED">
            <w:pPr>
              <w:rPr>
                <w:rFonts w:ascii="Century Schoolbook" w:hAnsi="Century Schoolbook"/>
                <w:sz w:val="20"/>
                <w:szCs w:val="20"/>
              </w:rPr>
            </w:pPr>
            <w:r w:rsidRPr="00A67629">
              <w:rPr>
                <w:rFonts w:ascii="Century Schoolbook" w:hAnsi="Century Schoolbook"/>
                <w:sz w:val="20"/>
                <w:szCs w:val="20"/>
              </w:rPr>
              <w:t>Exhibit L, RHWM Augmentation</w:t>
            </w:r>
          </w:p>
        </w:tc>
        <w:tc>
          <w:tcPr>
            <w:tcW w:w="1800" w:type="dxa"/>
          </w:tcPr>
          <w:p w14:paraId="0A7DF142" w14:textId="38027D4B" w:rsidR="008226ED" w:rsidRPr="000F0FBC" w:rsidRDefault="008226ED" w:rsidP="008226ED">
            <w:pPr>
              <w:rPr>
                <w:rFonts w:ascii="Century Schoolbook" w:hAnsi="Century Schoolbook"/>
                <w:sz w:val="20"/>
                <w:szCs w:val="20"/>
              </w:rPr>
            </w:pPr>
            <w:r>
              <w:rPr>
                <w:rFonts w:ascii="Century Schoolbook" w:hAnsi="Century Schoolbook"/>
                <w:sz w:val="20"/>
                <w:szCs w:val="20"/>
              </w:rPr>
              <w:t>N/A</w:t>
            </w:r>
          </w:p>
        </w:tc>
        <w:tc>
          <w:tcPr>
            <w:tcW w:w="5760" w:type="dxa"/>
          </w:tcPr>
          <w:p w14:paraId="1C9D23DB" w14:textId="5AC17D43" w:rsidR="008226ED" w:rsidRPr="000F0FBC" w:rsidRDefault="008226ED" w:rsidP="008226ED">
            <w:pPr>
              <w:rPr>
                <w:rFonts w:ascii="Century Schoolbook" w:hAnsi="Century Schoolbook"/>
                <w:sz w:val="20"/>
                <w:szCs w:val="20"/>
              </w:rPr>
            </w:pPr>
            <w:r>
              <w:rPr>
                <w:rFonts w:ascii="Century Schoolbook" w:hAnsi="Century Schoolbook"/>
                <w:sz w:val="20"/>
                <w:szCs w:val="20"/>
              </w:rPr>
              <w:t>Exhibit L states the RHWM Augmentation amounts established in each Rate Period.  RHWM Augmentation was a component of the BOS Base Amount and provided to customers in the Flat Annual Shape.</w:t>
            </w:r>
          </w:p>
        </w:tc>
        <w:tc>
          <w:tcPr>
            <w:tcW w:w="5310" w:type="dxa"/>
          </w:tcPr>
          <w:p w14:paraId="537548D9" w14:textId="46B69099" w:rsidR="008226ED" w:rsidRPr="000F0FBC" w:rsidRDefault="008226ED" w:rsidP="008226ED">
            <w:pPr>
              <w:rPr>
                <w:rFonts w:ascii="Century Schoolbook" w:hAnsi="Century Schoolbook"/>
                <w:sz w:val="20"/>
                <w:szCs w:val="20"/>
              </w:rPr>
            </w:pPr>
            <w:r>
              <w:rPr>
                <w:rFonts w:ascii="Century Schoolbook" w:hAnsi="Century Schoolbook"/>
                <w:sz w:val="20"/>
                <w:szCs w:val="20"/>
              </w:rPr>
              <w:t>Exhibit has been delet</w:t>
            </w:r>
            <w:r w:rsidRPr="00D7566C">
              <w:rPr>
                <w:rFonts w:ascii="Century Schoolbook" w:hAnsi="Century Schoolbook"/>
                <w:sz w:val="20"/>
                <w:szCs w:val="20"/>
              </w:rPr>
              <w:t xml:space="preserve">ed.  </w:t>
            </w:r>
            <w:r w:rsidRPr="00753CC9">
              <w:rPr>
                <w:rFonts w:ascii="Century Schoolbook" w:hAnsi="Century Schoolbook"/>
                <w:sz w:val="20"/>
                <w:szCs w:val="20"/>
              </w:rPr>
              <w:t xml:space="preserve">See below for description of </w:t>
            </w:r>
            <w:r>
              <w:rPr>
                <w:rFonts w:ascii="Century Schoolbook" w:hAnsi="Century Schoolbook"/>
                <w:sz w:val="20"/>
                <w:szCs w:val="20"/>
              </w:rPr>
              <w:t>POC</w:t>
            </w:r>
            <w:r w:rsidRPr="00753CC9">
              <w:rPr>
                <w:rFonts w:ascii="Century Schoolbook" w:hAnsi="Century Schoolbook"/>
                <w:sz w:val="20"/>
                <w:szCs w:val="20"/>
              </w:rPr>
              <w:t xml:space="preserve"> Exhibit L.</w:t>
            </w:r>
          </w:p>
        </w:tc>
      </w:tr>
      <w:tr w:rsidR="008226ED" w:rsidRPr="000F0FBC" w14:paraId="74BCD7DF" w14:textId="77777777" w:rsidTr="00801E11">
        <w:trPr>
          <w:cantSplit/>
        </w:trPr>
        <w:tc>
          <w:tcPr>
            <w:tcW w:w="1800" w:type="dxa"/>
          </w:tcPr>
          <w:p w14:paraId="119B9D84" w14:textId="5658D669" w:rsidR="008226ED" w:rsidRPr="00A67629" w:rsidRDefault="008226ED" w:rsidP="008226ED">
            <w:pPr>
              <w:rPr>
                <w:rFonts w:ascii="Century Schoolbook" w:hAnsi="Century Schoolbook"/>
                <w:sz w:val="20"/>
                <w:szCs w:val="20"/>
              </w:rPr>
            </w:pPr>
            <w:r w:rsidRPr="00A67629">
              <w:rPr>
                <w:rFonts w:ascii="Century Schoolbook" w:hAnsi="Century Schoolbook"/>
                <w:sz w:val="20"/>
                <w:szCs w:val="20"/>
              </w:rPr>
              <w:lastRenderedPageBreak/>
              <w:t>Exhibit M, Slice Computer Application</w:t>
            </w:r>
          </w:p>
        </w:tc>
        <w:tc>
          <w:tcPr>
            <w:tcW w:w="1800" w:type="dxa"/>
          </w:tcPr>
          <w:p w14:paraId="19F69285" w14:textId="64D61492" w:rsidR="008226ED" w:rsidRPr="000F0FBC" w:rsidRDefault="008226ED" w:rsidP="008226ED">
            <w:pPr>
              <w:rPr>
                <w:rFonts w:ascii="Century Schoolbook" w:hAnsi="Century Schoolbook"/>
                <w:sz w:val="20"/>
                <w:szCs w:val="20"/>
              </w:rPr>
            </w:pPr>
            <w:r>
              <w:rPr>
                <w:rFonts w:ascii="Century Schoolbook" w:hAnsi="Century Schoolbook"/>
                <w:sz w:val="20"/>
                <w:szCs w:val="20"/>
              </w:rPr>
              <w:t>Exhibit L, Provider of Choice Slice Application</w:t>
            </w:r>
          </w:p>
        </w:tc>
        <w:tc>
          <w:tcPr>
            <w:tcW w:w="5760" w:type="dxa"/>
          </w:tcPr>
          <w:p w14:paraId="235FA952" w14:textId="1CD07321" w:rsidR="008226ED" w:rsidRPr="00BC1057" w:rsidRDefault="008226ED" w:rsidP="008226ED">
            <w:pPr>
              <w:rPr>
                <w:rFonts w:ascii="Century Schoolbook" w:hAnsi="Century Schoolbook"/>
                <w:sz w:val="20"/>
                <w:szCs w:val="20"/>
              </w:rPr>
            </w:pPr>
            <w:r w:rsidRPr="004E60F6">
              <w:rPr>
                <w:rFonts w:ascii="Century Schoolbook" w:hAnsi="Century Schoolbook"/>
                <w:sz w:val="20"/>
                <w:szCs w:val="20"/>
              </w:rPr>
              <w:t>Established the Slice Computer Application that consisted of the Slice Water Routing Simulator, the Balance of System Module, the Default User Interface, and other related processes used for scheduling, tagging, and accounting of Slice Output and communication of information between BPA and Slice Customers.</w:t>
            </w:r>
          </w:p>
        </w:tc>
        <w:tc>
          <w:tcPr>
            <w:tcW w:w="5310" w:type="dxa"/>
          </w:tcPr>
          <w:p w14:paraId="27EF80B0" w14:textId="4857F4D3" w:rsidR="008226ED" w:rsidRPr="000F0FBC" w:rsidRDefault="008226ED" w:rsidP="008226ED">
            <w:pPr>
              <w:rPr>
                <w:rFonts w:ascii="Century Schoolbook" w:hAnsi="Century Schoolbook"/>
                <w:sz w:val="20"/>
                <w:szCs w:val="20"/>
              </w:rPr>
            </w:pPr>
            <w:r>
              <w:rPr>
                <w:rFonts w:ascii="Century Schoolbook" w:hAnsi="Century Schoolbook"/>
                <w:sz w:val="20"/>
                <w:szCs w:val="20"/>
              </w:rPr>
              <w:t xml:space="preserve">In POC, BPA refers to the Slice Computer Application as the Provider of Choice Computer Application (POCSA).  Use of the POCSA and its components to request Slice Output Energy will continue.  BPA Simulator Parameters and Customer Inputs adjusted to align with the day-ahead submission deadline.  Customer will submit a preliminary Simulated Operating Scenario ahead of Customer Inputs submission deadline.  Adds provisions for constraints that cannot be modeled accurately in POCSA.  Adds procedures to request shielding of Simulated Operating Scenario constraint violations. </w:t>
            </w:r>
          </w:p>
        </w:tc>
      </w:tr>
      <w:tr w:rsidR="008226ED" w:rsidRPr="000F0FBC" w14:paraId="3C913B90" w14:textId="77777777" w:rsidTr="00801E11">
        <w:trPr>
          <w:cantSplit/>
        </w:trPr>
        <w:tc>
          <w:tcPr>
            <w:tcW w:w="1800" w:type="dxa"/>
          </w:tcPr>
          <w:p w14:paraId="1CBB28DA" w14:textId="653EA567" w:rsidR="008226ED" w:rsidRPr="00A67629" w:rsidRDefault="008226ED" w:rsidP="008226ED">
            <w:pPr>
              <w:rPr>
                <w:rFonts w:ascii="Century Schoolbook" w:hAnsi="Century Schoolbook"/>
                <w:sz w:val="20"/>
                <w:szCs w:val="20"/>
              </w:rPr>
            </w:pPr>
            <w:r w:rsidRPr="00A67629">
              <w:rPr>
                <w:rFonts w:ascii="Century Schoolbook" w:hAnsi="Century Schoolbook"/>
                <w:sz w:val="20"/>
                <w:szCs w:val="20"/>
              </w:rPr>
              <w:t>Exhibit N, Slice Implementation Procedures</w:t>
            </w:r>
          </w:p>
        </w:tc>
        <w:tc>
          <w:tcPr>
            <w:tcW w:w="1800" w:type="dxa"/>
          </w:tcPr>
          <w:p w14:paraId="47D8DDE0" w14:textId="3CE437D2" w:rsidR="008226ED" w:rsidRDefault="008226ED" w:rsidP="008226ED">
            <w:pPr>
              <w:rPr>
                <w:rFonts w:ascii="Century Schoolbook" w:hAnsi="Century Schoolbook"/>
                <w:sz w:val="20"/>
                <w:szCs w:val="20"/>
              </w:rPr>
            </w:pPr>
            <w:r>
              <w:rPr>
                <w:rFonts w:ascii="Century Schoolbook" w:hAnsi="Century Schoolbook"/>
                <w:sz w:val="20"/>
                <w:szCs w:val="20"/>
              </w:rPr>
              <w:t>Exhibit M,</w:t>
            </w:r>
          </w:p>
          <w:p w14:paraId="531AF701" w14:textId="71582900" w:rsidR="008226ED" w:rsidRPr="000F0FBC" w:rsidRDefault="008226ED" w:rsidP="008226ED">
            <w:pPr>
              <w:rPr>
                <w:rFonts w:ascii="Century Schoolbook" w:hAnsi="Century Schoolbook"/>
                <w:sz w:val="20"/>
                <w:szCs w:val="20"/>
              </w:rPr>
            </w:pPr>
            <w:r>
              <w:rPr>
                <w:rFonts w:ascii="Century Schoolbook" w:hAnsi="Century Schoolbook"/>
                <w:sz w:val="20"/>
                <w:szCs w:val="20"/>
              </w:rPr>
              <w:t>Slice Operating Procedures</w:t>
            </w:r>
          </w:p>
        </w:tc>
        <w:tc>
          <w:tcPr>
            <w:tcW w:w="5760" w:type="dxa"/>
          </w:tcPr>
          <w:p w14:paraId="4C82C9F6" w14:textId="5F3E319F" w:rsidR="008226ED" w:rsidRPr="000F0FBC" w:rsidRDefault="008226ED" w:rsidP="008226ED">
            <w:pPr>
              <w:rPr>
                <w:rFonts w:ascii="Century Schoolbook" w:hAnsi="Century Schoolbook"/>
                <w:sz w:val="20"/>
                <w:szCs w:val="20"/>
              </w:rPr>
            </w:pPr>
            <w:r>
              <w:rPr>
                <w:rFonts w:ascii="Century Schoolbook" w:hAnsi="Century Schoolbook"/>
                <w:sz w:val="20"/>
                <w:szCs w:val="20"/>
              </w:rPr>
              <w:t xml:space="preserve">Described Storage Offset Adjustment and Deviation Accounting in SCA. Provided procedures for </w:t>
            </w:r>
            <w:r w:rsidRPr="009F1FB2">
              <w:rPr>
                <w:rFonts w:ascii="Century Schoolbook" w:hAnsi="Century Schoolbook"/>
                <w:sz w:val="20"/>
                <w:szCs w:val="20"/>
              </w:rPr>
              <w:t xml:space="preserve">Operating Constraint Violations </w:t>
            </w:r>
            <w:r>
              <w:rPr>
                <w:rFonts w:ascii="Century Schoolbook" w:hAnsi="Century Schoolbook"/>
                <w:sz w:val="20"/>
                <w:szCs w:val="20"/>
              </w:rPr>
              <w:t>a</w:t>
            </w:r>
            <w:r w:rsidRPr="009F1FB2">
              <w:rPr>
                <w:rFonts w:ascii="Century Schoolbook" w:hAnsi="Century Schoolbook"/>
                <w:sz w:val="20"/>
                <w:szCs w:val="20"/>
              </w:rPr>
              <w:t xml:space="preserve">nd </w:t>
            </w:r>
            <w:r>
              <w:rPr>
                <w:rFonts w:ascii="Century Schoolbook" w:hAnsi="Century Schoolbook"/>
                <w:sz w:val="20"/>
                <w:szCs w:val="20"/>
              </w:rPr>
              <w:t>BOS</w:t>
            </w:r>
            <w:r w:rsidRPr="009F1FB2">
              <w:rPr>
                <w:rFonts w:ascii="Century Schoolbook" w:hAnsi="Century Schoolbook"/>
                <w:sz w:val="20"/>
                <w:szCs w:val="20"/>
              </w:rPr>
              <w:t xml:space="preserve"> Flex Validations</w:t>
            </w:r>
            <w:r>
              <w:rPr>
                <w:rFonts w:ascii="Century Schoolbook" w:hAnsi="Century Schoolbook"/>
                <w:sz w:val="20"/>
                <w:szCs w:val="20"/>
              </w:rPr>
              <w:t xml:space="preserve">. Described </w:t>
            </w:r>
            <w:r w:rsidRPr="004E60F6">
              <w:rPr>
                <w:rFonts w:ascii="Century Schoolbook" w:hAnsi="Century Schoolbook"/>
                <w:sz w:val="20"/>
                <w:szCs w:val="20"/>
              </w:rPr>
              <w:t>Grand Coulee Project Storage Bounds.</w:t>
            </w:r>
          </w:p>
        </w:tc>
        <w:tc>
          <w:tcPr>
            <w:tcW w:w="5310" w:type="dxa"/>
          </w:tcPr>
          <w:p w14:paraId="508AD216" w14:textId="3CCFB230" w:rsidR="008226ED" w:rsidRPr="000F0FBC" w:rsidRDefault="008226ED" w:rsidP="008226ED">
            <w:pPr>
              <w:rPr>
                <w:rFonts w:ascii="Century Schoolbook" w:hAnsi="Century Schoolbook"/>
                <w:sz w:val="20"/>
                <w:szCs w:val="20"/>
              </w:rPr>
            </w:pPr>
            <w:r>
              <w:rPr>
                <w:rFonts w:ascii="Century Schoolbook" w:hAnsi="Century Schoolbook"/>
                <w:sz w:val="20"/>
                <w:szCs w:val="20"/>
              </w:rPr>
              <w:t>Preserves procedures used in RD.  Aligns SOA and Deviation Returns with day-ahead Slice Output Energy Request.</w:t>
            </w:r>
          </w:p>
        </w:tc>
      </w:tr>
      <w:tr w:rsidR="008226ED" w:rsidRPr="000F0FBC" w14:paraId="3A24EF9A" w14:textId="77777777" w:rsidTr="00801E11">
        <w:trPr>
          <w:cantSplit/>
        </w:trPr>
        <w:tc>
          <w:tcPr>
            <w:tcW w:w="1800" w:type="dxa"/>
          </w:tcPr>
          <w:p w14:paraId="0FE139A2" w14:textId="74AC320C" w:rsidR="008226ED" w:rsidRPr="00A67629" w:rsidRDefault="008226ED" w:rsidP="008226ED">
            <w:pPr>
              <w:rPr>
                <w:rFonts w:ascii="Century Schoolbook" w:hAnsi="Century Schoolbook"/>
                <w:sz w:val="20"/>
                <w:szCs w:val="20"/>
              </w:rPr>
            </w:pPr>
            <w:r w:rsidRPr="00A67629">
              <w:rPr>
                <w:rFonts w:ascii="Century Schoolbook" w:hAnsi="Century Schoolbook"/>
                <w:sz w:val="20"/>
                <w:szCs w:val="20"/>
              </w:rPr>
              <w:t>Exhibit O, Interim Slice Implementation Procedures</w:t>
            </w:r>
          </w:p>
        </w:tc>
        <w:tc>
          <w:tcPr>
            <w:tcW w:w="1800" w:type="dxa"/>
          </w:tcPr>
          <w:p w14:paraId="4E6CAD88" w14:textId="016E2DBB" w:rsidR="008226ED" w:rsidRPr="000F0FBC" w:rsidRDefault="008226ED" w:rsidP="008226ED">
            <w:pPr>
              <w:rPr>
                <w:rFonts w:ascii="Century Schoolbook" w:hAnsi="Century Schoolbook"/>
                <w:sz w:val="20"/>
                <w:szCs w:val="20"/>
              </w:rPr>
            </w:pPr>
            <w:r>
              <w:rPr>
                <w:rFonts w:ascii="Century Schoolbook" w:hAnsi="Century Schoolbook"/>
                <w:sz w:val="20"/>
                <w:szCs w:val="20"/>
              </w:rPr>
              <w:t>N/A</w:t>
            </w:r>
          </w:p>
        </w:tc>
        <w:tc>
          <w:tcPr>
            <w:tcW w:w="5760" w:type="dxa"/>
          </w:tcPr>
          <w:p w14:paraId="3A4A09CB" w14:textId="71538679" w:rsidR="008226ED" w:rsidRPr="000F0FBC" w:rsidRDefault="008226ED" w:rsidP="008226ED">
            <w:pPr>
              <w:rPr>
                <w:rFonts w:ascii="Century Schoolbook" w:hAnsi="Century Schoolbook"/>
                <w:sz w:val="20"/>
                <w:szCs w:val="20"/>
              </w:rPr>
            </w:pPr>
            <w:r>
              <w:rPr>
                <w:rFonts w:ascii="Century Schoolbook" w:hAnsi="Century Schoolbook"/>
                <w:sz w:val="20"/>
                <w:szCs w:val="20"/>
              </w:rPr>
              <w:t>Exhibit O described the interim procedures that BPA and Slice Customers would use if the Slice Computer Application Implementation Date was established after 10/1/2011.</w:t>
            </w:r>
          </w:p>
        </w:tc>
        <w:tc>
          <w:tcPr>
            <w:tcW w:w="5310" w:type="dxa"/>
          </w:tcPr>
          <w:p w14:paraId="45668890" w14:textId="32B143EC" w:rsidR="008226ED" w:rsidRPr="000F0FBC" w:rsidRDefault="008226ED" w:rsidP="008226ED">
            <w:pPr>
              <w:rPr>
                <w:rFonts w:ascii="Century Schoolbook" w:hAnsi="Century Schoolbook"/>
                <w:sz w:val="20"/>
                <w:szCs w:val="20"/>
              </w:rPr>
            </w:pPr>
            <w:r>
              <w:rPr>
                <w:rFonts w:ascii="Century Schoolbook" w:hAnsi="Century Schoolbook"/>
                <w:sz w:val="20"/>
                <w:szCs w:val="20"/>
              </w:rPr>
              <w:t>Exhibit has been deleted.</w:t>
            </w:r>
          </w:p>
        </w:tc>
      </w:tr>
      <w:tr w:rsidR="008226ED" w:rsidRPr="000F0FBC" w14:paraId="48274EFC" w14:textId="77777777" w:rsidTr="00801E11">
        <w:trPr>
          <w:cantSplit/>
        </w:trPr>
        <w:tc>
          <w:tcPr>
            <w:tcW w:w="1800" w:type="dxa"/>
          </w:tcPr>
          <w:p w14:paraId="6DB032B7" w14:textId="7025B1E6" w:rsidR="008226ED" w:rsidRPr="00A67629" w:rsidRDefault="008226ED" w:rsidP="008226ED">
            <w:pPr>
              <w:rPr>
                <w:rFonts w:ascii="Century Schoolbook" w:hAnsi="Century Schoolbook"/>
                <w:sz w:val="20"/>
                <w:szCs w:val="20"/>
              </w:rPr>
            </w:pPr>
            <w:r w:rsidRPr="00A67629">
              <w:rPr>
                <w:rFonts w:ascii="Century Schoolbook" w:hAnsi="Century Schoolbook"/>
                <w:sz w:val="20"/>
                <w:szCs w:val="20"/>
              </w:rPr>
              <w:t>Exhibit P, Slice Computer Application Development Schedule</w:t>
            </w:r>
          </w:p>
        </w:tc>
        <w:tc>
          <w:tcPr>
            <w:tcW w:w="1800" w:type="dxa"/>
          </w:tcPr>
          <w:p w14:paraId="1B967F02" w14:textId="25992915" w:rsidR="008226ED" w:rsidRPr="000F0FBC" w:rsidRDefault="008226ED" w:rsidP="008226ED">
            <w:pPr>
              <w:rPr>
                <w:rFonts w:ascii="Century Schoolbook" w:hAnsi="Century Schoolbook"/>
                <w:sz w:val="20"/>
                <w:szCs w:val="20"/>
              </w:rPr>
            </w:pPr>
            <w:r>
              <w:rPr>
                <w:rFonts w:ascii="Century Schoolbook" w:hAnsi="Century Schoolbook"/>
                <w:sz w:val="20"/>
                <w:szCs w:val="20"/>
              </w:rPr>
              <w:t>N/A</w:t>
            </w:r>
          </w:p>
        </w:tc>
        <w:tc>
          <w:tcPr>
            <w:tcW w:w="5760" w:type="dxa"/>
          </w:tcPr>
          <w:p w14:paraId="7793322F" w14:textId="72DE645A" w:rsidR="008226ED" w:rsidRPr="00BF69AB" w:rsidRDefault="008226ED" w:rsidP="008226ED">
            <w:pPr>
              <w:rPr>
                <w:rFonts w:ascii="Century Schoolbook" w:hAnsi="Century Schoolbook"/>
                <w:b/>
                <w:bCs/>
                <w:sz w:val="20"/>
                <w:szCs w:val="20"/>
              </w:rPr>
            </w:pPr>
            <w:r>
              <w:rPr>
                <w:rFonts w:ascii="Century Schoolbook" w:hAnsi="Century Schoolbook"/>
                <w:sz w:val="20"/>
                <w:szCs w:val="20"/>
              </w:rPr>
              <w:t>Exhibit P described the milestones and dates for development of the Slice Computer Application. Exhibit P dates were not binding.  The binding SCA Implementation Date was provided in Section 5 in the body of the Agreement.</w:t>
            </w:r>
          </w:p>
        </w:tc>
        <w:tc>
          <w:tcPr>
            <w:tcW w:w="5310" w:type="dxa"/>
          </w:tcPr>
          <w:p w14:paraId="64F939B2" w14:textId="3E1D5A85" w:rsidR="008226ED" w:rsidRPr="000F0FBC" w:rsidRDefault="008226ED" w:rsidP="008226ED">
            <w:pPr>
              <w:rPr>
                <w:rFonts w:ascii="Century Schoolbook" w:hAnsi="Century Schoolbook"/>
                <w:sz w:val="20"/>
                <w:szCs w:val="20"/>
              </w:rPr>
            </w:pPr>
            <w:r>
              <w:rPr>
                <w:rFonts w:ascii="Century Schoolbook" w:hAnsi="Century Schoolbook"/>
                <w:sz w:val="20"/>
                <w:szCs w:val="20"/>
              </w:rPr>
              <w:t>Exhibit has been deleted.  BPA will provide the POCSA development schedule to customers when contract is offered for execution pursuant to section 5.11.</w:t>
            </w:r>
          </w:p>
        </w:tc>
      </w:tr>
      <w:tr w:rsidR="008226ED" w:rsidRPr="000F0FBC" w14:paraId="5EC96B49" w14:textId="77777777" w:rsidTr="00801E11">
        <w:trPr>
          <w:cantSplit/>
        </w:trPr>
        <w:tc>
          <w:tcPr>
            <w:tcW w:w="1800" w:type="dxa"/>
          </w:tcPr>
          <w:p w14:paraId="284F5EA0" w14:textId="517BD5DB" w:rsidR="008226ED" w:rsidRPr="00A67629" w:rsidRDefault="008226ED" w:rsidP="008226ED">
            <w:pPr>
              <w:rPr>
                <w:rFonts w:ascii="Century Schoolbook" w:hAnsi="Century Schoolbook"/>
                <w:sz w:val="20"/>
                <w:szCs w:val="20"/>
              </w:rPr>
            </w:pPr>
            <w:r w:rsidRPr="00A67629">
              <w:rPr>
                <w:rFonts w:ascii="Century Schoolbook" w:hAnsi="Century Schoolbook"/>
                <w:sz w:val="20"/>
                <w:szCs w:val="20"/>
              </w:rPr>
              <w:t>Exhibit Q, Determination of Initial Slice Percentage</w:t>
            </w:r>
          </w:p>
        </w:tc>
        <w:tc>
          <w:tcPr>
            <w:tcW w:w="1800" w:type="dxa"/>
          </w:tcPr>
          <w:p w14:paraId="07EDF639" w14:textId="59B703BC" w:rsidR="008226ED" w:rsidRPr="000F0FBC" w:rsidRDefault="008226ED" w:rsidP="008226ED">
            <w:pPr>
              <w:rPr>
                <w:rFonts w:ascii="Century Schoolbook" w:hAnsi="Century Schoolbook"/>
                <w:sz w:val="20"/>
                <w:szCs w:val="20"/>
              </w:rPr>
            </w:pPr>
            <w:r>
              <w:rPr>
                <w:rFonts w:ascii="Century Schoolbook" w:hAnsi="Century Schoolbook"/>
                <w:sz w:val="20"/>
                <w:szCs w:val="20"/>
              </w:rPr>
              <w:t>N/A</w:t>
            </w:r>
          </w:p>
        </w:tc>
        <w:tc>
          <w:tcPr>
            <w:tcW w:w="5760" w:type="dxa"/>
          </w:tcPr>
          <w:p w14:paraId="4F0B90DE" w14:textId="10DE2045" w:rsidR="008226ED" w:rsidRPr="000F0FBC" w:rsidRDefault="008226ED" w:rsidP="008226ED">
            <w:pPr>
              <w:rPr>
                <w:rFonts w:ascii="Century Schoolbook" w:hAnsi="Century Schoolbook"/>
                <w:sz w:val="20"/>
                <w:szCs w:val="20"/>
              </w:rPr>
            </w:pPr>
            <w:r>
              <w:rPr>
                <w:rFonts w:ascii="Century Schoolbook" w:hAnsi="Century Schoolbook"/>
                <w:sz w:val="20"/>
                <w:szCs w:val="20"/>
              </w:rPr>
              <w:t>Exhibit Q described the process that BPA used to establish Initial Slice Percentages.  RD included a mechanism to increase a customer’s Slice Percentage if the total Slice Percentage requested by all customers was less than the limit established by BPA.</w:t>
            </w:r>
          </w:p>
        </w:tc>
        <w:tc>
          <w:tcPr>
            <w:tcW w:w="5310" w:type="dxa"/>
          </w:tcPr>
          <w:p w14:paraId="09C17C47" w14:textId="6C2D0692" w:rsidR="008226ED" w:rsidRPr="000F0FBC" w:rsidRDefault="008226ED" w:rsidP="008226ED">
            <w:pPr>
              <w:rPr>
                <w:rFonts w:ascii="Century Schoolbook" w:hAnsi="Century Schoolbook"/>
                <w:sz w:val="20"/>
                <w:szCs w:val="20"/>
              </w:rPr>
            </w:pPr>
            <w:r>
              <w:rPr>
                <w:rFonts w:ascii="Century Schoolbook" w:hAnsi="Century Schoolbook"/>
                <w:sz w:val="20"/>
                <w:szCs w:val="20"/>
              </w:rPr>
              <w:t>Exhibit has been deleted.</w:t>
            </w:r>
          </w:p>
        </w:tc>
      </w:tr>
    </w:tbl>
    <w:p w14:paraId="44837D47" w14:textId="77777777" w:rsidR="00B366C3" w:rsidRPr="000F0FBC" w:rsidRDefault="00B366C3">
      <w:pPr>
        <w:rPr>
          <w:rFonts w:ascii="Century Schoolbook" w:hAnsi="Century Schoolbook"/>
          <w:sz w:val="20"/>
          <w:szCs w:val="20"/>
        </w:rPr>
      </w:pPr>
    </w:p>
    <w:sectPr w:rsidR="00B366C3" w:rsidRPr="000F0FBC" w:rsidSect="00D95480">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1E44" w14:textId="77777777" w:rsidR="006A1B9E" w:rsidRDefault="006A1B9E" w:rsidP="000700DD">
      <w:r>
        <w:separator/>
      </w:r>
    </w:p>
  </w:endnote>
  <w:endnote w:type="continuationSeparator" w:id="0">
    <w:p w14:paraId="0AFF08EC" w14:textId="77777777" w:rsidR="006A1B9E" w:rsidRDefault="006A1B9E" w:rsidP="000700DD">
      <w:r>
        <w:continuationSeparator/>
      </w:r>
    </w:p>
  </w:endnote>
  <w:endnote w:type="continuationNotice" w:id="1">
    <w:p w14:paraId="047518EB" w14:textId="77777777" w:rsidR="006A1B9E" w:rsidRDefault="006A1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74F1" w14:textId="77777777" w:rsidR="00F72CFE" w:rsidRDefault="00F72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299639"/>
      <w:docPartObj>
        <w:docPartGallery w:val="Page Numbers (Bottom of Page)"/>
        <w:docPartUnique/>
      </w:docPartObj>
    </w:sdtPr>
    <w:sdtEndPr>
      <w:rPr>
        <w:rFonts w:ascii="Century Schoolbook" w:hAnsi="Century Schoolbook"/>
        <w:sz w:val="18"/>
        <w:szCs w:val="18"/>
      </w:rPr>
    </w:sdtEndPr>
    <w:sdtContent>
      <w:p w14:paraId="2D83C621" w14:textId="336F1E44" w:rsidR="000700DD" w:rsidRPr="008E12E9" w:rsidRDefault="00AE7411" w:rsidP="009C3A7E">
        <w:pPr>
          <w:pStyle w:val="Footer"/>
          <w:tabs>
            <w:tab w:val="right" w:pos="14400"/>
          </w:tabs>
          <w:ind w:left="-86" w:right="-360"/>
          <w:rPr>
            <w:rFonts w:ascii="Century Schoolbook" w:hAnsi="Century Schoolbook"/>
            <w:sz w:val="18"/>
            <w:szCs w:val="18"/>
          </w:rPr>
        </w:pPr>
        <w:r w:rsidRPr="004E60F6">
          <w:rPr>
            <w:rFonts w:ascii="Century Schoolbook" w:hAnsi="Century Schoolbook"/>
            <w:sz w:val="18"/>
            <w:szCs w:val="18"/>
          </w:rPr>
          <w:t>Provider of Choice</w:t>
        </w:r>
        <w:r w:rsidR="00342841">
          <w:rPr>
            <w:rFonts w:ascii="Century Schoolbook" w:hAnsi="Century Schoolbook"/>
            <w:sz w:val="18"/>
            <w:szCs w:val="18"/>
          </w:rPr>
          <w:t xml:space="preserve"> </w:t>
        </w:r>
        <w:r w:rsidR="00F959BE">
          <w:rPr>
            <w:rFonts w:ascii="Century Schoolbook" w:hAnsi="Century Schoolbook"/>
            <w:sz w:val="18"/>
            <w:szCs w:val="18"/>
          </w:rPr>
          <w:t>Comparison to Regional Dialogue</w:t>
        </w:r>
        <w:r w:rsidR="00342841">
          <w:rPr>
            <w:rFonts w:ascii="Century Schoolbook" w:hAnsi="Century Schoolbook"/>
            <w:sz w:val="18"/>
            <w:szCs w:val="18"/>
          </w:rPr>
          <w:t xml:space="preserve"> (</w:t>
        </w:r>
        <w:r w:rsidR="00F72CFE">
          <w:rPr>
            <w:rFonts w:ascii="Century Schoolbook" w:hAnsi="Century Schoolbook"/>
            <w:sz w:val="18"/>
            <w:szCs w:val="18"/>
          </w:rPr>
          <w:t>June</w:t>
        </w:r>
        <w:r w:rsidR="00342841">
          <w:rPr>
            <w:rFonts w:ascii="Century Schoolbook" w:hAnsi="Century Schoolbook"/>
            <w:sz w:val="18"/>
            <w:szCs w:val="18"/>
          </w:rPr>
          <w:t xml:space="preserve"> 1</w:t>
        </w:r>
        <w:r w:rsidR="00F72CFE">
          <w:rPr>
            <w:rFonts w:ascii="Century Schoolbook" w:hAnsi="Century Schoolbook"/>
            <w:sz w:val="18"/>
            <w:szCs w:val="18"/>
          </w:rPr>
          <w:t>8</w:t>
        </w:r>
        <w:r w:rsidR="00342841">
          <w:rPr>
            <w:rFonts w:ascii="Century Schoolbook" w:hAnsi="Century Schoolbook"/>
            <w:sz w:val="18"/>
            <w:szCs w:val="18"/>
          </w:rPr>
          <w:t>, 2025)</w:t>
        </w:r>
        <w:r w:rsidR="00BF69AB">
          <w:rPr>
            <w:rFonts w:ascii="Century Schoolbook" w:hAnsi="Century Schoolbook"/>
            <w:sz w:val="18"/>
            <w:szCs w:val="18"/>
          </w:rPr>
          <w:t>: Pre-decisional. For informational purposes only.</w:t>
        </w:r>
        <w:r w:rsidR="00CC2022">
          <w:rPr>
            <w:rFonts w:ascii="Century Schoolbook" w:hAnsi="Century Schoolbook"/>
            <w:sz w:val="18"/>
            <w:szCs w:val="18"/>
          </w:rPr>
          <w:tab/>
        </w:r>
        <w:r w:rsidR="000700DD" w:rsidRPr="004E60F6">
          <w:rPr>
            <w:rFonts w:ascii="Century Schoolbook" w:hAnsi="Century Schoolbook"/>
            <w:sz w:val="18"/>
            <w:szCs w:val="18"/>
          </w:rPr>
          <w:fldChar w:fldCharType="begin"/>
        </w:r>
        <w:r w:rsidR="000700DD" w:rsidRPr="004E60F6">
          <w:rPr>
            <w:rFonts w:ascii="Century Schoolbook" w:hAnsi="Century Schoolbook"/>
            <w:sz w:val="18"/>
            <w:szCs w:val="18"/>
          </w:rPr>
          <w:instrText xml:space="preserve"> PAGE   \* MERGEFORMAT </w:instrText>
        </w:r>
        <w:r w:rsidR="000700DD" w:rsidRPr="004E60F6">
          <w:rPr>
            <w:rFonts w:ascii="Century Schoolbook" w:hAnsi="Century Schoolbook"/>
            <w:sz w:val="18"/>
            <w:szCs w:val="18"/>
          </w:rPr>
          <w:fldChar w:fldCharType="separate"/>
        </w:r>
        <w:r w:rsidR="000700DD" w:rsidRPr="004E60F6">
          <w:rPr>
            <w:rFonts w:ascii="Century Schoolbook" w:hAnsi="Century Schoolbook"/>
            <w:sz w:val="18"/>
            <w:szCs w:val="18"/>
          </w:rPr>
          <w:t>2</w:t>
        </w:r>
        <w:r w:rsidR="000700DD" w:rsidRPr="004E60F6">
          <w:rPr>
            <w:rFonts w:ascii="Century Schoolbook" w:hAnsi="Century Schoolbook"/>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44E7" w14:textId="77777777" w:rsidR="00F72CFE" w:rsidRDefault="00F72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658A" w14:textId="77777777" w:rsidR="006A1B9E" w:rsidRDefault="006A1B9E" w:rsidP="000700DD">
      <w:r>
        <w:separator/>
      </w:r>
    </w:p>
  </w:footnote>
  <w:footnote w:type="continuationSeparator" w:id="0">
    <w:p w14:paraId="22D09C54" w14:textId="77777777" w:rsidR="006A1B9E" w:rsidRDefault="006A1B9E" w:rsidP="000700DD">
      <w:r>
        <w:continuationSeparator/>
      </w:r>
    </w:p>
  </w:footnote>
  <w:footnote w:type="continuationNotice" w:id="1">
    <w:p w14:paraId="75DD8D03" w14:textId="77777777" w:rsidR="006A1B9E" w:rsidRDefault="006A1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9CF1" w14:textId="77777777" w:rsidR="00F72CFE" w:rsidRDefault="00F7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2716" w14:textId="77777777" w:rsidR="00F72CFE" w:rsidRDefault="00F72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1B65" w14:textId="77777777" w:rsidR="00F72CFE" w:rsidRDefault="00F72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287"/>
    <w:multiLevelType w:val="hybridMultilevel"/>
    <w:tmpl w:val="6E6A3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366CB5"/>
    <w:multiLevelType w:val="hybridMultilevel"/>
    <w:tmpl w:val="7304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461D8"/>
    <w:multiLevelType w:val="hybridMultilevel"/>
    <w:tmpl w:val="65A4C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110AC2"/>
    <w:multiLevelType w:val="hybridMultilevel"/>
    <w:tmpl w:val="F1501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24328C"/>
    <w:multiLevelType w:val="hybridMultilevel"/>
    <w:tmpl w:val="EA0419F4"/>
    <w:lvl w:ilvl="0" w:tplc="CDC46B1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83551322">
    <w:abstractNumId w:val="4"/>
  </w:num>
  <w:num w:numId="2" w16cid:durableId="632369599">
    <w:abstractNumId w:val="2"/>
  </w:num>
  <w:num w:numId="3" w16cid:durableId="553394365">
    <w:abstractNumId w:val="3"/>
  </w:num>
  <w:num w:numId="4" w16cid:durableId="21589753">
    <w:abstractNumId w:val="0"/>
  </w:num>
  <w:num w:numId="5" w16cid:durableId="30304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BF"/>
    <w:rsid w:val="00000152"/>
    <w:rsid w:val="00000B4D"/>
    <w:rsid w:val="000029C8"/>
    <w:rsid w:val="00013F70"/>
    <w:rsid w:val="00015AD9"/>
    <w:rsid w:val="00023925"/>
    <w:rsid w:val="0003049E"/>
    <w:rsid w:val="000500AF"/>
    <w:rsid w:val="000523D6"/>
    <w:rsid w:val="000663CB"/>
    <w:rsid w:val="000700DD"/>
    <w:rsid w:val="00072A79"/>
    <w:rsid w:val="00086FA3"/>
    <w:rsid w:val="00091819"/>
    <w:rsid w:val="00092D51"/>
    <w:rsid w:val="00092E68"/>
    <w:rsid w:val="000B15C1"/>
    <w:rsid w:val="000B7373"/>
    <w:rsid w:val="000C0905"/>
    <w:rsid w:val="000D6820"/>
    <w:rsid w:val="000D7D01"/>
    <w:rsid w:val="000F0FBC"/>
    <w:rsid w:val="000F74FD"/>
    <w:rsid w:val="0011210A"/>
    <w:rsid w:val="00113453"/>
    <w:rsid w:val="00124419"/>
    <w:rsid w:val="00131464"/>
    <w:rsid w:val="001355A8"/>
    <w:rsid w:val="00140974"/>
    <w:rsid w:val="00142096"/>
    <w:rsid w:val="00150A2D"/>
    <w:rsid w:val="00150BEE"/>
    <w:rsid w:val="001700EA"/>
    <w:rsid w:val="001715EC"/>
    <w:rsid w:val="00172328"/>
    <w:rsid w:val="001730EB"/>
    <w:rsid w:val="0017546D"/>
    <w:rsid w:val="00181AB2"/>
    <w:rsid w:val="00181FA8"/>
    <w:rsid w:val="001830F7"/>
    <w:rsid w:val="00184412"/>
    <w:rsid w:val="00185255"/>
    <w:rsid w:val="0018717B"/>
    <w:rsid w:val="001962C7"/>
    <w:rsid w:val="001A17BE"/>
    <w:rsid w:val="001A540A"/>
    <w:rsid w:val="001A7136"/>
    <w:rsid w:val="001B1DD1"/>
    <w:rsid w:val="001B51DF"/>
    <w:rsid w:val="001B63B9"/>
    <w:rsid w:val="001B674B"/>
    <w:rsid w:val="001C508D"/>
    <w:rsid w:val="001D09E3"/>
    <w:rsid w:val="001D5A1E"/>
    <w:rsid w:val="001D6819"/>
    <w:rsid w:val="001E24C3"/>
    <w:rsid w:val="001E31BB"/>
    <w:rsid w:val="001E4AB4"/>
    <w:rsid w:val="001E5B83"/>
    <w:rsid w:val="001E6DEF"/>
    <w:rsid w:val="001F5D8A"/>
    <w:rsid w:val="001F791C"/>
    <w:rsid w:val="0020399A"/>
    <w:rsid w:val="00203D04"/>
    <w:rsid w:val="00204436"/>
    <w:rsid w:val="00205AEB"/>
    <w:rsid w:val="002113A3"/>
    <w:rsid w:val="00211B1D"/>
    <w:rsid w:val="00211E74"/>
    <w:rsid w:val="002166CC"/>
    <w:rsid w:val="00217FC8"/>
    <w:rsid w:val="002208F0"/>
    <w:rsid w:val="002255EA"/>
    <w:rsid w:val="00227B83"/>
    <w:rsid w:val="0024362D"/>
    <w:rsid w:val="002607F5"/>
    <w:rsid w:val="002800D4"/>
    <w:rsid w:val="00283B6B"/>
    <w:rsid w:val="00285977"/>
    <w:rsid w:val="00294C19"/>
    <w:rsid w:val="002965C2"/>
    <w:rsid w:val="002B15A7"/>
    <w:rsid w:val="002B39B0"/>
    <w:rsid w:val="002B42CD"/>
    <w:rsid w:val="002B780F"/>
    <w:rsid w:val="002C1ABA"/>
    <w:rsid w:val="002C321B"/>
    <w:rsid w:val="002C3597"/>
    <w:rsid w:val="002D0E13"/>
    <w:rsid w:val="002D592F"/>
    <w:rsid w:val="002E56D9"/>
    <w:rsid w:val="002F61B2"/>
    <w:rsid w:val="003033A0"/>
    <w:rsid w:val="0030786E"/>
    <w:rsid w:val="0031084D"/>
    <w:rsid w:val="00312439"/>
    <w:rsid w:val="003152A0"/>
    <w:rsid w:val="0033407F"/>
    <w:rsid w:val="0034006C"/>
    <w:rsid w:val="00342841"/>
    <w:rsid w:val="003473F1"/>
    <w:rsid w:val="003476BF"/>
    <w:rsid w:val="003500D8"/>
    <w:rsid w:val="00364D55"/>
    <w:rsid w:val="003655C0"/>
    <w:rsid w:val="0037681C"/>
    <w:rsid w:val="0038593D"/>
    <w:rsid w:val="00391EC5"/>
    <w:rsid w:val="003931CA"/>
    <w:rsid w:val="003A54F8"/>
    <w:rsid w:val="003B4A7E"/>
    <w:rsid w:val="003C0E44"/>
    <w:rsid w:val="003C77B3"/>
    <w:rsid w:val="003D48DA"/>
    <w:rsid w:val="003E1C8A"/>
    <w:rsid w:val="003F50FB"/>
    <w:rsid w:val="003F714B"/>
    <w:rsid w:val="004023B3"/>
    <w:rsid w:val="00406540"/>
    <w:rsid w:val="00406E0E"/>
    <w:rsid w:val="00431A75"/>
    <w:rsid w:val="0043488E"/>
    <w:rsid w:val="00445F66"/>
    <w:rsid w:val="00450424"/>
    <w:rsid w:val="00450535"/>
    <w:rsid w:val="004717C6"/>
    <w:rsid w:val="0047427E"/>
    <w:rsid w:val="00476A52"/>
    <w:rsid w:val="004770F1"/>
    <w:rsid w:val="00477CE4"/>
    <w:rsid w:val="004803B1"/>
    <w:rsid w:val="00485982"/>
    <w:rsid w:val="00486827"/>
    <w:rsid w:val="00486FFB"/>
    <w:rsid w:val="00490C7E"/>
    <w:rsid w:val="00493C29"/>
    <w:rsid w:val="004940FB"/>
    <w:rsid w:val="00495664"/>
    <w:rsid w:val="00495DBF"/>
    <w:rsid w:val="00496EBC"/>
    <w:rsid w:val="004975E7"/>
    <w:rsid w:val="004B631A"/>
    <w:rsid w:val="004B7E74"/>
    <w:rsid w:val="004D0115"/>
    <w:rsid w:val="004D4136"/>
    <w:rsid w:val="004E4CB9"/>
    <w:rsid w:val="004E54F2"/>
    <w:rsid w:val="004E60F6"/>
    <w:rsid w:val="004E6587"/>
    <w:rsid w:val="004F0399"/>
    <w:rsid w:val="00507DE2"/>
    <w:rsid w:val="0052642B"/>
    <w:rsid w:val="0052797B"/>
    <w:rsid w:val="0053228D"/>
    <w:rsid w:val="00537D13"/>
    <w:rsid w:val="00544CB7"/>
    <w:rsid w:val="00547123"/>
    <w:rsid w:val="0055070C"/>
    <w:rsid w:val="00550EC0"/>
    <w:rsid w:val="00554D06"/>
    <w:rsid w:val="00560807"/>
    <w:rsid w:val="00573AEE"/>
    <w:rsid w:val="00586007"/>
    <w:rsid w:val="005926CA"/>
    <w:rsid w:val="005A0705"/>
    <w:rsid w:val="005A6746"/>
    <w:rsid w:val="005A72E9"/>
    <w:rsid w:val="005C1A3D"/>
    <w:rsid w:val="005D4793"/>
    <w:rsid w:val="005E1754"/>
    <w:rsid w:val="00610810"/>
    <w:rsid w:val="00613EEC"/>
    <w:rsid w:val="00625867"/>
    <w:rsid w:val="00632D80"/>
    <w:rsid w:val="00636137"/>
    <w:rsid w:val="00637FD0"/>
    <w:rsid w:val="006440E5"/>
    <w:rsid w:val="00646035"/>
    <w:rsid w:val="00646597"/>
    <w:rsid w:val="00646E80"/>
    <w:rsid w:val="00650D40"/>
    <w:rsid w:val="00651012"/>
    <w:rsid w:val="0065562E"/>
    <w:rsid w:val="006657BD"/>
    <w:rsid w:val="00665CCF"/>
    <w:rsid w:val="0068170F"/>
    <w:rsid w:val="00682966"/>
    <w:rsid w:val="00683B90"/>
    <w:rsid w:val="00683DB0"/>
    <w:rsid w:val="00684E21"/>
    <w:rsid w:val="006857C2"/>
    <w:rsid w:val="006909BD"/>
    <w:rsid w:val="006911C5"/>
    <w:rsid w:val="006A1B9E"/>
    <w:rsid w:val="006B727B"/>
    <w:rsid w:val="006C02FF"/>
    <w:rsid w:val="006C3BAD"/>
    <w:rsid w:val="006C603D"/>
    <w:rsid w:val="006C785D"/>
    <w:rsid w:val="006D5AAC"/>
    <w:rsid w:val="006D5D3C"/>
    <w:rsid w:val="006D6301"/>
    <w:rsid w:val="006D730E"/>
    <w:rsid w:val="006E06E1"/>
    <w:rsid w:val="006F3F0F"/>
    <w:rsid w:val="006F5769"/>
    <w:rsid w:val="00702C10"/>
    <w:rsid w:val="00703AE2"/>
    <w:rsid w:val="00727B7C"/>
    <w:rsid w:val="00730545"/>
    <w:rsid w:val="00735A65"/>
    <w:rsid w:val="007531D9"/>
    <w:rsid w:val="00753CC9"/>
    <w:rsid w:val="00761585"/>
    <w:rsid w:val="00763EAA"/>
    <w:rsid w:val="00765778"/>
    <w:rsid w:val="00770D7B"/>
    <w:rsid w:val="00773A3D"/>
    <w:rsid w:val="00774C3D"/>
    <w:rsid w:val="007754C4"/>
    <w:rsid w:val="0078795D"/>
    <w:rsid w:val="00794C22"/>
    <w:rsid w:val="007C2038"/>
    <w:rsid w:val="007D3E20"/>
    <w:rsid w:val="007E2297"/>
    <w:rsid w:val="007F558A"/>
    <w:rsid w:val="007F62B4"/>
    <w:rsid w:val="00801E11"/>
    <w:rsid w:val="008050CB"/>
    <w:rsid w:val="00812756"/>
    <w:rsid w:val="008226ED"/>
    <w:rsid w:val="0082335D"/>
    <w:rsid w:val="0082365A"/>
    <w:rsid w:val="0082449D"/>
    <w:rsid w:val="00827BF0"/>
    <w:rsid w:val="0083173A"/>
    <w:rsid w:val="0083290E"/>
    <w:rsid w:val="00841D6A"/>
    <w:rsid w:val="00843A82"/>
    <w:rsid w:val="00844E3E"/>
    <w:rsid w:val="0084742E"/>
    <w:rsid w:val="008528B4"/>
    <w:rsid w:val="00852D41"/>
    <w:rsid w:val="0085649E"/>
    <w:rsid w:val="00856A3C"/>
    <w:rsid w:val="008624BE"/>
    <w:rsid w:val="00866F9B"/>
    <w:rsid w:val="008720E8"/>
    <w:rsid w:val="00883323"/>
    <w:rsid w:val="00884181"/>
    <w:rsid w:val="0088643B"/>
    <w:rsid w:val="00887EE1"/>
    <w:rsid w:val="008956F8"/>
    <w:rsid w:val="0089684B"/>
    <w:rsid w:val="008B079D"/>
    <w:rsid w:val="008B53F2"/>
    <w:rsid w:val="008B7CD7"/>
    <w:rsid w:val="008C6B89"/>
    <w:rsid w:val="008C7046"/>
    <w:rsid w:val="008C7DFA"/>
    <w:rsid w:val="008D2C35"/>
    <w:rsid w:val="008D78EB"/>
    <w:rsid w:val="008E12E9"/>
    <w:rsid w:val="008E4171"/>
    <w:rsid w:val="008F04A6"/>
    <w:rsid w:val="008F6D5A"/>
    <w:rsid w:val="00904160"/>
    <w:rsid w:val="0090737A"/>
    <w:rsid w:val="00910FD2"/>
    <w:rsid w:val="009168EB"/>
    <w:rsid w:val="009175E4"/>
    <w:rsid w:val="00924279"/>
    <w:rsid w:val="00924CB6"/>
    <w:rsid w:val="00926CEC"/>
    <w:rsid w:val="009301C0"/>
    <w:rsid w:val="00930A1E"/>
    <w:rsid w:val="00932DB4"/>
    <w:rsid w:val="00945304"/>
    <w:rsid w:val="009475AF"/>
    <w:rsid w:val="00950DDA"/>
    <w:rsid w:val="00961889"/>
    <w:rsid w:val="00965E96"/>
    <w:rsid w:val="009666CB"/>
    <w:rsid w:val="00982C3E"/>
    <w:rsid w:val="00984AC3"/>
    <w:rsid w:val="00985B3F"/>
    <w:rsid w:val="009924EE"/>
    <w:rsid w:val="00993C70"/>
    <w:rsid w:val="00995089"/>
    <w:rsid w:val="00995618"/>
    <w:rsid w:val="009A1F59"/>
    <w:rsid w:val="009A656E"/>
    <w:rsid w:val="009B5A25"/>
    <w:rsid w:val="009C3A7E"/>
    <w:rsid w:val="009D2CFC"/>
    <w:rsid w:val="009E7E73"/>
    <w:rsid w:val="009F1FB2"/>
    <w:rsid w:val="00A2557A"/>
    <w:rsid w:val="00A41FCD"/>
    <w:rsid w:val="00A4729D"/>
    <w:rsid w:val="00A52C2E"/>
    <w:rsid w:val="00A60D56"/>
    <w:rsid w:val="00A626FF"/>
    <w:rsid w:val="00A67629"/>
    <w:rsid w:val="00A70AC9"/>
    <w:rsid w:val="00A8503F"/>
    <w:rsid w:val="00A9268B"/>
    <w:rsid w:val="00AA6C36"/>
    <w:rsid w:val="00AB2C3F"/>
    <w:rsid w:val="00AB60FA"/>
    <w:rsid w:val="00AB6D27"/>
    <w:rsid w:val="00AC1A80"/>
    <w:rsid w:val="00AC278B"/>
    <w:rsid w:val="00AC28E3"/>
    <w:rsid w:val="00AC386F"/>
    <w:rsid w:val="00AC48D1"/>
    <w:rsid w:val="00AC7273"/>
    <w:rsid w:val="00AD3B04"/>
    <w:rsid w:val="00AD7CD9"/>
    <w:rsid w:val="00AE2E20"/>
    <w:rsid w:val="00AE7411"/>
    <w:rsid w:val="00AF04E0"/>
    <w:rsid w:val="00AF7BA4"/>
    <w:rsid w:val="00B02276"/>
    <w:rsid w:val="00B03133"/>
    <w:rsid w:val="00B20B3C"/>
    <w:rsid w:val="00B2326E"/>
    <w:rsid w:val="00B2656D"/>
    <w:rsid w:val="00B366C3"/>
    <w:rsid w:val="00B42533"/>
    <w:rsid w:val="00B43E76"/>
    <w:rsid w:val="00B46AD1"/>
    <w:rsid w:val="00B63C24"/>
    <w:rsid w:val="00B707BA"/>
    <w:rsid w:val="00B82764"/>
    <w:rsid w:val="00B85547"/>
    <w:rsid w:val="00B9074B"/>
    <w:rsid w:val="00B938E5"/>
    <w:rsid w:val="00BB0650"/>
    <w:rsid w:val="00BB081F"/>
    <w:rsid w:val="00BB0B57"/>
    <w:rsid w:val="00BB45CA"/>
    <w:rsid w:val="00BB76BC"/>
    <w:rsid w:val="00BC1057"/>
    <w:rsid w:val="00BD24A2"/>
    <w:rsid w:val="00BD78B2"/>
    <w:rsid w:val="00BE074F"/>
    <w:rsid w:val="00BE0BB2"/>
    <w:rsid w:val="00BF2E56"/>
    <w:rsid w:val="00BF577E"/>
    <w:rsid w:val="00BF66FC"/>
    <w:rsid w:val="00BF69AB"/>
    <w:rsid w:val="00C008EE"/>
    <w:rsid w:val="00C036EF"/>
    <w:rsid w:val="00C042AD"/>
    <w:rsid w:val="00C07D43"/>
    <w:rsid w:val="00C14C64"/>
    <w:rsid w:val="00C22AD1"/>
    <w:rsid w:val="00C23D21"/>
    <w:rsid w:val="00C3085D"/>
    <w:rsid w:val="00C321B0"/>
    <w:rsid w:val="00C45091"/>
    <w:rsid w:val="00C47F9B"/>
    <w:rsid w:val="00C5113D"/>
    <w:rsid w:val="00C531E2"/>
    <w:rsid w:val="00C568E3"/>
    <w:rsid w:val="00C57F7A"/>
    <w:rsid w:val="00C60BC3"/>
    <w:rsid w:val="00C62407"/>
    <w:rsid w:val="00C766C2"/>
    <w:rsid w:val="00C86B24"/>
    <w:rsid w:val="00CA2576"/>
    <w:rsid w:val="00CB648E"/>
    <w:rsid w:val="00CB72E1"/>
    <w:rsid w:val="00CB763D"/>
    <w:rsid w:val="00CC2022"/>
    <w:rsid w:val="00CC4D40"/>
    <w:rsid w:val="00CD03E2"/>
    <w:rsid w:val="00CD34B8"/>
    <w:rsid w:val="00CE0CFF"/>
    <w:rsid w:val="00CE1E4D"/>
    <w:rsid w:val="00CE36E4"/>
    <w:rsid w:val="00CE3A20"/>
    <w:rsid w:val="00CF517A"/>
    <w:rsid w:val="00CF6AF6"/>
    <w:rsid w:val="00CF7B4A"/>
    <w:rsid w:val="00D02F56"/>
    <w:rsid w:val="00D053B7"/>
    <w:rsid w:val="00D1364E"/>
    <w:rsid w:val="00D231B0"/>
    <w:rsid w:val="00D23539"/>
    <w:rsid w:val="00D251B7"/>
    <w:rsid w:val="00D42978"/>
    <w:rsid w:val="00D451DB"/>
    <w:rsid w:val="00D512F8"/>
    <w:rsid w:val="00D52504"/>
    <w:rsid w:val="00D7566C"/>
    <w:rsid w:val="00D84803"/>
    <w:rsid w:val="00D9287D"/>
    <w:rsid w:val="00D948A2"/>
    <w:rsid w:val="00D95480"/>
    <w:rsid w:val="00DA1FCC"/>
    <w:rsid w:val="00DB33FB"/>
    <w:rsid w:val="00DB4907"/>
    <w:rsid w:val="00DB621B"/>
    <w:rsid w:val="00DC2E97"/>
    <w:rsid w:val="00DD450D"/>
    <w:rsid w:val="00DD4724"/>
    <w:rsid w:val="00DD7D93"/>
    <w:rsid w:val="00DE27DD"/>
    <w:rsid w:val="00DE6072"/>
    <w:rsid w:val="00DE7085"/>
    <w:rsid w:val="00DF4228"/>
    <w:rsid w:val="00DF5898"/>
    <w:rsid w:val="00DF7BBA"/>
    <w:rsid w:val="00E02C8E"/>
    <w:rsid w:val="00E06DA8"/>
    <w:rsid w:val="00E1121A"/>
    <w:rsid w:val="00E14A24"/>
    <w:rsid w:val="00E20586"/>
    <w:rsid w:val="00E207A1"/>
    <w:rsid w:val="00E2292A"/>
    <w:rsid w:val="00E269A2"/>
    <w:rsid w:val="00E35A21"/>
    <w:rsid w:val="00E364BB"/>
    <w:rsid w:val="00E36D2C"/>
    <w:rsid w:val="00E3752C"/>
    <w:rsid w:val="00E45F41"/>
    <w:rsid w:val="00E463E6"/>
    <w:rsid w:val="00E61599"/>
    <w:rsid w:val="00E71FDB"/>
    <w:rsid w:val="00E748A5"/>
    <w:rsid w:val="00E76B33"/>
    <w:rsid w:val="00E77DB4"/>
    <w:rsid w:val="00E80520"/>
    <w:rsid w:val="00E90CA6"/>
    <w:rsid w:val="00EA7A32"/>
    <w:rsid w:val="00EB5EE2"/>
    <w:rsid w:val="00EC097D"/>
    <w:rsid w:val="00EC2850"/>
    <w:rsid w:val="00EC58BB"/>
    <w:rsid w:val="00EC7D7C"/>
    <w:rsid w:val="00EE73D5"/>
    <w:rsid w:val="00EF038D"/>
    <w:rsid w:val="00EF4F29"/>
    <w:rsid w:val="00EF79E7"/>
    <w:rsid w:val="00F0575B"/>
    <w:rsid w:val="00F05F0E"/>
    <w:rsid w:val="00F27826"/>
    <w:rsid w:val="00F33FF8"/>
    <w:rsid w:val="00F3446F"/>
    <w:rsid w:val="00F54670"/>
    <w:rsid w:val="00F72CFE"/>
    <w:rsid w:val="00F824E2"/>
    <w:rsid w:val="00F92B4B"/>
    <w:rsid w:val="00F95976"/>
    <w:rsid w:val="00F959BE"/>
    <w:rsid w:val="00F97904"/>
    <w:rsid w:val="00FA0B9C"/>
    <w:rsid w:val="00FA30D3"/>
    <w:rsid w:val="00FC5985"/>
    <w:rsid w:val="00FD1D2C"/>
    <w:rsid w:val="00FD2C65"/>
    <w:rsid w:val="00FD419D"/>
    <w:rsid w:val="00FE3F03"/>
    <w:rsid w:val="00FF43E6"/>
    <w:rsid w:val="00FF5FEE"/>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C424317"/>
  <w15:chartTrackingRefBased/>
  <w15:docId w15:val="{6DF88437-4EE0-4405-91E3-7E4DFD68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5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D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D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5D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5D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5D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5D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5D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95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D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D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5D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5D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5D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5D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5D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5D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D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D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5D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5DBF"/>
    <w:rPr>
      <w:i/>
      <w:iCs/>
      <w:color w:val="404040" w:themeColor="text1" w:themeTint="BF"/>
    </w:rPr>
  </w:style>
  <w:style w:type="paragraph" w:styleId="ListParagraph">
    <w:name w:val="List Paragraph"/>
    <w:basedOn w:val="Normal"/>
    <w:uiPriority w:val="34"/>
    <w:qFormat/>
    <w:rsid w:val="00495DBF"/>
    <w:pPr>
      <w:ind w:left="720"/>
      <w:contextualSpacing/>
    </w:pPr>
  </w:style>
  <w:style w:type="character" w:styleId="IntenseEmphasis">
    <w:name w:val="Intense Emphasis"/>
    <w:basedOn w:val="DefaultParagraphFont"/>
    <w:uiPriority w:val="21"/>
    <w:qFormat/>
    <w:rsid w:val="00495DBF"/>
    <w:rPr>
      <w:i/>
      <w:iCs/>
      <w:color w:val="0F4761" w:themeColor="accent1" w:themeShade="BF"/>
    </w:rPr>
  </w:style>
  <w:style w:type="paragraph" w:styleId="IntenseQuote">
    <w:name w:val="Intense Quote"/>
    <w:basedOn w:val="Normal"/>
    <w:next w:val="Normal"/>
    <w:link w:val="IntenseQuoteChar"/>
    <w:uiPriority w:val="30"/>
    <w:qFormat/>
    <w:rsid w:val="00495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DBF"/>
    <w:rPr>
      <w:i/>
      <w:iCs/>
      <w:color w:val="0F4761" w:themeColor="accent1" w:themeShade="BF"/>
    </w:rPr>
  </w:style>
  <w:style w:type="character" w:styleId="IntenseReference">
    <w:name w:val="Intense Reference"/>
    <w:basedOn w:val="DefaultParagraphFont"/>
    <w:uiPriority w:val="32"/>
    <w:qFormat/>
    <w:rsid w:val="00495DBF"/>
    <w:rPr>
      <w:b/>
      <w:bCs/>
      <w:smallCaps/>
      <w:color w:val="0F4761" w:themeColor="accent1" w:themeShade="BF"/>
      <w:spacing w:val="5"/>
    </w:rPr>
  </w:style>
  <w:style w:type="table" w:styleId="TableGrid">
    <w:name w:val="Table Grid"/>
    <w:basedOn w:val="TableNormal"/>
    <w:uiPriority w:val="39"/>
    <w:rsid w:val="0049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00DD"/>
    <w:pPr>
      <w:tabs>
        <w:tab w:val="center" w:pos="4680"/>
        <w:tab w:val="right" w:pos="9360"/>
      </w:tabs>
    </w:pPr>
  </w:style>
  <w:style w:type="character" w:customStyle="1" w:styleId="HeaderChar">
    <w:name w:val="Header Char"/>
    <w:basedOn w:val="DefaultParagraphFont"/>
    <w:link w:val="Header"/>
    <w:uiPriority w:val="99"/>
    <w:rsid w:val="000700DD"/>
  </w:style>
  <w:style w:type="paragraph" w:styleId="Footer">
    <w:name w:val="footer"/>
    <w:basedOn w:val="Normal"/>
    <w:link w:val="FooterChar"/>
    <w:uiPriority w:val="99"/>
    <w:unhideWhenUsed/>
    <w:rsid w:val="000700DD"/>
    <w:pPr>
      <w:tabs>
        <w:tab w:val="center" w:pos="4680"/>
        <w:tab w:val="right" w:pos="9360"/>
      </w:tabs>
    </w:pPr>
  </w:style>
  <w:style w:type="character" w:customStyle="1" w:styleId="FooterChar">
    <w:name w:val="Footer Char"/>
    <w:basedOn w:val="DefaultParagraphFont"/>
    <w:link w:val="Footer"/>
    <w:uiPriority w:val="99"/>
    <w:rsid w:val="000700DD"/>
  </w:style>
  <w:style w:type="character" w:styleId="CommentReference">
    <w:name w:val="annotation reference"/>
    <w:basedOn w:val="DefaultParagraphFont"/>
    <w:uiPriority w:val="99"/>
    <w:semiHidden/>
    <w:unhideWhenUsed/>
    <w:rsid w:val="00FD419D"/>
    <w:rPr>
      <w:sz w:val="16"/>
      <w:szCs w:val="16"/>
    </w:rPr>
  </w:style>
  <w:style w:type="paragraph" w:styleId="CommentText">
    <w:name w:val="annotation text"/>
    <w:basedOn w:val="Normal"/>
    <w:link w:val="CommentTextChar"/>
    <w:uiPriority w:val="99"/>
    <w:unhideWhenUsed/>
    <w:rsid w:val="00FD419D"/>
    <w:rPr>
      <w:rFonts w:ascii="Century Schoolbook" w:eastAsia="Times New Roman" w:hAnsi="Century Schoolbook"/>
      <w:kern w:val="0"/>
      <w:sz w:val="20"/>
      <w:szCs w:val="20"/>
      <w14:ligatures w14:val="none"/>
    </w:rPr>
  </w:style>
  <w:style w:type="character" w:customStyle="1" w:styleId="CommentTextChar">
    <w:name w:val="Comment Text Char"/>
    <w:basedOn w:val="DefaultParagraphFont"/>
    <w:link w:val="CommentText"/>
    <w:uiPriority w:val="99"/>
    <w:rsid w:val="00FD419D"/>
    <w:rPr>
      <w:rFonts w:ascii="Century Schoolbook" w:eastAsia="Times New Roman" w:hAnsi="Century Schoolbook"/>
      <w:kern w:val="0"/>
      <w:sz w:val="20"/>
      <w:szCs w:val="20"/>
      <w14:ligatures w14:val="none"/>
    </w:rPr>
  </w:style>
  <w:style w:type="paragraph" w:styleId="Index1">
    <w:name w:val="index 1"/>
    <w:basedOn w:val="Normal"/>
    <w:next w:val="Normal"/>
    <w:autoRedefine/>
    <w:uiPriority w:val="99"/>
    <w:semiHidden/>
    <w:unhideWhenUsed/>
    <w:rsid w:val="003A54F8"/>
    <w:pPr>
      <w:ind w:left="240" w:hanging="240"/>
    </w:pPr>
  </w:style>
  <w:style w:type="paragraph" w:styleId="Revision">
    <w:name w:val="Revision"/>
    <w:hidden/>
    <w:uiPriority w:val="99"/>
    <w:semiHidden/>
    <w:rsid w:val="00982C3E"/>
  </w:style>
  <w:style w:type="paragraph" w:styleId="CommentSubject">
    <w:name w:val="annotation subject"/>
    <w:basedOn w:val="CommentText"/>
    <w:next w:val="CommentText"/>
    <w:link w:val="CommentSubjectChar"/>
    <w:uiPriority w:val="99"/>
    <w:semiHidden/>
    <w:unhideWhenUsed/>
    <w:rsid w:val="004D4136"/>
    <w:rPr>
      <w:rFonts w:ascii="Times New Roman" w:eastAsiaTheme="minorHAnsi" w:hAnsi="Times New Roman"/>
      <w:b/>
      <w:bCs/>
      <w:kern w:val="2"/>
      <w14:ligatures w14:val="standardContextual"/>
    </w:rPr>
  </w:style>
  <w:style w:type="character" w:customStyle="1" w:styleId="CommentSubjectChar">
    <w:name w:val="Comment Subject Char"/>
    <w:basedOn w:val="CommentTextChar"/>
    <w:link w:val="CommentSubject"/>
    <w:uiPriority w:val="99"/>
    <w:semiHidden/>
    <w:rsid w:val="004D4136"/>
    <w:rPr>
      <w:rFonts w:ascii="Century Schoolbook" w:eastAsia="Times New Roman" w:hAnsi="Century Schoolbook"/>
      <w:b/>
      <w:bCs/>
      <w:kern w:val="0"/>
      <w:sz w:val="20"/>
      <w:szCs w:val="20"/>
      <w14:ligatures w14:val="none"/>
    </w:rPr>
  </w:style>
  <w:style w:type="character" w:styleId="Hyperlink">
    <w:name w:val="Hyperlink"/>
    <w:basedOn w:val="DefaultParagraphFont"/>
    <w:uiPriority w:val="99"/>
    <w:unhideWhenUsed/>
    <w:rsid w:val="00703AE2"/>
    <w:rPr>
      <w:color w:val="467886" w:themeColor="hyperlink"/>
      <w:u w:val="single"/>
    </w:rPr>
  </w:style>
  <w:style w:type="character" w:styleId="UnresolvedMention">
    <w:name w:val="Unresolved Mention"/>
    <w:basedOn w:val="DefaultParagraphFont"/>
    <w:uiPriority w:val="99"/>
    <w:semiHidden/>
    <w:unhideWhenUsed/>
    <w:rsid w:val="00703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703897">
      <w:bodyDiv w:val="1"/>
      <w:marLeft w:val="0"/>
      <w:marRight w:val="0"/>
      <w:marTop w:val="0"/>
      <w:marBottom w:val="0"/>
      <w:divBdr>
        <w:top w:val="none" w:sz="0" w:space="0" w:color="auto"/>
        <w:left w:val="none" w:sz="0" w:space="0" w:color="auto"/>
        <w:bottom w:val="none" w:sz="0" w:space="0" w:color="auto"/>
        <w:right w:val="none" w:sz="0" w:space="0" w:color="auto"/>
      </w:divBdr>
    </w:div>
    <w:div w:id="12646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49266-81B9-4054-A18D-96E766876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171426-CC7F-4894-AAF3-625EDC9B9163}">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F147E40-8ED7-451C-93BB-3415EC1D7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6081</Words>
  <Characters>34667</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cp:lastPrinted>2024-10-29T14:52:00Z</cp:lastPrinted>
  <dcterms:created xsi:type="dcterms:W3CDTF">2025-06-18T17:25:00Z</dcterms:created>
  <dcterms:modified xsi:type="dcterms:W3CDTF">2025-06-18T17:25:00Z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