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586D" w14:textId="77777777" w:rsidR="00BB227E" w:rsidRDefault="00BB227E">
      <w:pPr>
        <w:rPr>
          <w:b/>
          <w:bCs/>
        </w:rPr>
      </w:pPr>
    </w:p>
    <w:p w14:paraId="029FE5BA" w14:textId="61FA5601" w:rsidR="00BB227E" w:rsidRPr="00650ABE" w:rsidRDefault="00BB227E">
      <w:pPr>
        <w:rPr>
          <w:b/>
          <w:bCs/>
        </w:rPr>
      </w:pPr>
      <w:r>
        <w:rPr>
          <w:b/>
          <w:bCs/>
        </w:rPr>
        <w:t>Administrative clean-up edits</w:t>
      </w:r>
    </w:p>
    <w:p w14:paraId="74F07E46" w14:textId="400CD5B4" w:rsidR="00650ABE" w:rsidRDefault="00650ABE" w:rsidP="00650ABE">
      <w:pPr>
        <w:pStyle w:val="ListParagraph"/>
        <w:numPr>
          <w:ilvl w:val="0"/>
          <w:numId w:val="2"/>
        </w:numPr>
      </w:pPr>
      <w:r>
        <w:t xml:space="preserve">Added missing </w:t>
      </w:r>
      <w:r w:rsidR="00AB229D">
        <w:t>“</w:t>
      </w:r>
      <w:r w:rsidR="00501AD2">
        <w:t>«</w:t>
      </w:r>
      <w:r w:rsidR="00AB229D">
        <w:t>”</w:t>
      </w:r>
      <w:r w:rsidR="00501AD2">
        <w:t xml:space="preserve"> </w:t>
      </w:r>
      <w:r w:rsidR="00AB229D">
        <w:t>or</w:t>
      </w:r>
      <w:r w:rsidR="00501AD2">
        <w:t xml:space="preserve"> </w:t>
      </w:r>
      <w:r w:rsidR="00AB229D">
        <w:t>“</w:t>
      </w:r>
      <w:r w:rsidR="00501AD2">
        <w:t>»</w:t>
      </w:r>
      <w:r w:rsidR="00AB229D">
        <w:t>”</w:t>
      </w:r>
      <w:r w:rsidR="00501AD2">
        <w:t xml:space="preserve"> </w:t>
      </w:r>
      <w:r>
        <w:t>to «Customer Name»</w:t>
      </w:r>
    </w:p>
    <w:p w14:paraId="0F698A57" w14:textId="77777777" w:rsidR="00501AD2" w:rsidRDefault="00501AD2" w:rsidP="00501AD2">
      <w:pPr>
        <w:pStyle w:val="ListParagraph"/>
        <w:numPr>
          <w:ilvl w:val="0"/>
          <w:numId w:val="2"/>
        </w:numPr>
      </w:pPr>
      <w:r>
        <w:t xml:space="preserve">Added missing “’s” to «Customer Name» </w:t>
      </w:r>
    </w:p>
    <w:p w14:paraId="1C76C679" w14:textId="7011851E" w:rsidR="00650ABE" w:rsidRDefault="00650ABE" w:rsidP="00650ABE">
      <w:pPr>
        <w:pStyle w:val="ListParagraph"/>
        <w:numPr>
          <w:ilvl w:val="0"/>
          <w:numId w:val="2"/>
        </w:numPr>
      </w:pPr>
      <w:r>
        <w:t>Added missing periods; deleted extraneous periods and commas</w:t>
      </w:r>
    </w:p>
    <w:p w14:paraId="2D8586B6" w14:textId="369E4032" w:rsidR="00D145AD" w:rsidRDefault="00D145AD" w:rsidP="00650ABE">
      <w:pPr>
        <w:pStyle w:val="ListParagraph"/>
        <w:numPr>
          <w:ilvl w:val="0"/>
          <w:numId w:val="2"/>
        </w:numPr>
      </w:pPr>
      <w:r>
        <w:t>Deleted extra spaces</w:t>
      </w:r>
    </w:p>
    <w:p w14:paraId="314C665D" w14:textId="0946E836" w:rsidR="00D145AD" w:rsidRDefault="00D145AD" w:rsidP="00650ABE">
      <w:pPr>
        <w:pStyle w:val="ListParagraph"/>
        <w:numPr>
          <w:ilvl w:val="0"/>
          <w:numId w:val="2"/>
        </w:numPr>
      </w:pPr>
      <w:r>
        <w:t xml:space="preserve">Corrected font size, spacing and </w:t>
      </w:r>
      <w:r w:rsidR="00D77606">
        <w:t>indentation</w:t>
      </w:r>
    </w:p>
    <w:p w14:paraId="7140E19C" w14:textId="1E82F68C" w:rsidR="00650ABE" w:rsidRDefault="00650ABE" w:rsidP="00650ABE">
      <w:pPr>
        <w:pStyle w:val="ListParagraph"/>
        <w:numPr>
          <w:ilvl w:val="0"/>
          <w:numId w:val="2"/>
        </w:numPr>
      </w:pPr>
      <w:r>
        <w:t xml:space="preserve">Added </w:t>
      </w:r>
      <w:r w:rsidR="00D145AD">
        <w:t xml:space="preserve">and/or corrected </w:t>
      </w:r>
      <w:r>
        <w:t>pink text indicating the end of an option</w:t>
      </w:r>
      <w:r w:rsidR="00D145AD">
        <w:t xml:space="preserve"> </w:t>
      </w:r>
    </w:p>
    <w:p w14:paraId="4DD3FA2F" w14:textId="3CB630DF" w:rsidR="00650ABE" w:rsidRDefault="00650ABE" w:rsidP="00650ABE">
      <w:pPr>
        <w:pStyle w:val="ListParagraph"/>
        <w:numPr>
          <w:ilvl w:val="0"/>
          <w:numId w:val="2"/>
        </w:numPr>
      </w:pPr>
      <w:r>
        <w:t>Corrected the page numbering in exhibit footers</w:t>
      </w:r>
    </w:p>
    <w:p w14:paraId="563C591B" w14:textId="078E8268" w:rsidR="00650ABE" w:rsidRDefault="00D145AD" w:rsidP="00650ABE">
      <w:pPr>
        <w:pStyle w:val="ListParagraph"/>
        <w:numPr>
          <w:ilvl w:val="0"/>
          <w:numId w:val="2"/>
        </w:numPr>
      </w:pPr>
      <w:r>
        <w:t>Corrected section numbers</w:t>
      </w:r>
      <w:r w:rsidR="00614AB1">
        <w:t xml:space="preserve"> and section references</w:t>
      </w:r>
    </w:p>
    <w:p w14:paraId="4D3B0301" w14:textId="0268F2C7" w:rsidR="00D145AD" w:rsidRDefault="00D145AD" w:rsidP="00650ABE">
      <w:pPr>
        <w:pStyle w:val="ListParagraph"/>
        <w:numPr>
          <w:ilvl w:val="0"/>
          <w:numId w:val="2"/>
        </w:numPr>
      </w:pPr>
      <w:r>
        <w:t>Decapitalized the word “of” in a header</w:t>
      </w:r>
    </w:p>
    <w:p w14:paraId="0D629B55" w14:textId="77777777" w:rsidR="00650ABE" w:rsidRDefault="00650ABE"/>
    <w:p w14:paraId="4FE65EF8" w14:textId="77777777" w:rsidR="00CA5855" w:rsidRDefault="00CA5855">
      <w:pPr>
        <w:rPr>
          <w:b/>
          <w:bCs/>
        </w:rPr>
      </w:pPr>
    </w:p>
    <w:p w14:paraId="2D5CFD09" w14:textId="309512AD" w:rsidR="00650ABE" w:rsidRPr="00650ABE" w:rsidRDefault="00650ABE">
      <w:pPr>
        <w:rPr>
          <w:b/>
          <w:bCs/>
        </w:rPr>
      </w:pPr>
      <w:r w:rsidRPr="00650ABE">
        <w:rPr>
          <w:b/>
          <w:bCs/>
        </w:rPr>
        <w:t>Specific word changes made as clean</w:t>
      </w:r>
      <w:r w:rsidR="00BB227E">
        <w:rPr>
          <w:b/>
          <w:bCs/>
        </w:rPr>
        <w:t>-</w:t>
      </w:r>
      <w:r w:rsidRPr="00650ABE">
        <w:rPr>
          <w:b/>
          <w:bCs/>
        </w:rPr>
        <w:t>up edits:</w:t>
      </w:r>
    </w:p>
    <w:p w14:paraId="3D144067" w14:textId="35C326EB" w:rsidR="004D2963" w:rsidRDefault="004D2963" w:rsidP="00501AD2">
      <w:pPr>
        <w:pStyle w:val="ListParagraph"/>
        <w:numPr>
          <w:ilvl w:val="0"/>
          <w:numId w:val="5"/>
        </w:numPr>
      </w:pPr>
      <w:r>
        <w:t xml:space="preserve">BPA </w:t>
      </w:r>
      <w:r w:rsidR="002A7799">
        <w:t xml:space="preserve">added or </w:t>
      </w:r>
      <w:r>
        <w:t xml:space="preserve">revised </w:t>
      </w:r>
      <w:r w:rsidR="00501AD2">
        <w:t>pink text drafter’s note</w:t>
      </w:r>
      <w:r w:rsidR="002A7799">
        <w:t>s</w:t>
      </w:r>
      <w:r>
        <w:t xml:space="preserve"> </w:t>
      </w:r>
      <w:r w:rsidR="00501AD2">
        <w:t>for clarity</w:t>
      </w:r>
      <w:r>
        <w:t>:</w:t>
      </w:r>
    </w:p>
    <w:p w14:paraId="40667727" w14:textId="77777777" w:rsidR="002A7799" w:rsidRDefault="002A7799" w:rsidP="002A7799">
      <w:pPr>
        <w:pStyle w:val="ListParagraph"/>
      </w:pPr>
    </w:p>
    <w:p w14:paraId="433BC402" w14:textId="7CF9AA90" w:rsidR="004D2963" w:rsidRDefault="002A7799" w:rsidP="004D2963">
      <w:pPr>
        <w:pStyle w:val="ListParagraph"/>
        <w:numPr>
          <w:ilvl w:val="1"/>
          <w:numId w:val="5"/>
        </w:numPr>
      </w:pPr>
      <w:r>
        <w:t>Instance</w:t>
      </w:r>
      <w:r w:rsidR="004D2963">
        <w:t xml:space="preserve"> 1, in Exhibit B, section 1.2.2: </w:t>
      </w:r>
    </w:p>
    <w:p w14:paraId="0EA11F37" w14:textId="6CEA1B0C" w:rsidR="00AB229D" w:rsidRDefault="00501AD2" w:rsidP="004D2963">
      <w:pPr>
        <w:pStyle w:val="ListParagraph"/>
        <w:ind w:left="1440"/>
      </w:pPr>
      <w:r>
        <w:t xml:space="preserve"> </w:t>
      </w:r>
      <w:r w:rsidR="004D2963" w:rsidRPr="004D2963">
        <w:rPr>
          <w:bCs/>
          <w:noProof/>
        </w:rPr>
        <w:drawing>
          <wp:inline distT="0" distB="0" distL="0" distR="0" wp14:anchorId="4CF4110F" wp14:editId="7BDF4F5E">
            <wp:extent cx="4198984" cy="784928"/>
            <wp:effectExtent l="0" t="0" r="0" b="0"/>
            <wp:docPr id="210639823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39823" name="Picture 1" descr="A close-up of a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8984" cy="78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3B3C6" w14:textId="77777777" w:rsidR="004D2963" w:rsidRDefault="004D2963" w:rsidP="004D2963">
      <w:pPr>
        <w:pStyle w:val="ListParagraph"/>
        <w:ind w:left="1440"/>
      </w:pPr>
    </w:p>
    <w:p w14:paraId="6EE42BF0" w14:textId="6482A4F6" w:rsidR="004D2963" w:rsidRDefault="002A7799" w:rsidP="004D2963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>Instance</w:t>
      </w:r>
      <w:r w:rsidR="004D2963">
        <w:rPr>
          <w:bCs/>
        </w:rPr>
        <w:t xml:space="preserve"> 2, in Exhibit I, section 1.2, in the space for an additional Customer Name contact box:</w:t>
      </w:r>
    </w:p>
    <w:p w14:paraId="3C502960" w14:textId="65A2AE3D" w:rsidR="004D2963" w:rsidRDefault="002A7799" w:rsidP="004D2963">
      <w:pPr>
        <w:pStyle w:val="ListParagraph"/>
        <w:ind w:left="1440"/>
        <w:rPr>
          <w:bCs/>
        </w:rPr>
      </w:pPr>
      <w:r w:rsidRPr="002A7799">
        <w:rPr>
          <w:bCs/>
          <w:noProof/>
        </w:rPr>
        <w:drawing>
          <wp:inline distT="0" distB="0" distL="0" distR="0" wp14:anchorId="2D0340E3" wp14:editId="52E6F0E8">
            <wp:extent cx="2225233" cy="2080440"/>
            <wp:effectExtent l="0" t="0" r="3810" b="0"/>
            <wp:docPr id="55626546" name="Picture 1" descr="A screenshot of a contact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26546" name="Picture 1" descr="A screenshot of a contact form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5233" cy="20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4587D" w14:textId="77777777" w:rsidR="004D2963" w:rsidRPr="00AB229D" w:rsidRDefault="004D2963" w:rsidP="00AB229D">
      <w:pPr>
        <w:pStyle w:val="ListParagraph"/>
        <w:rPr>
          <w:bCs/>
        </w:rPr>
      </w:pPr>
    </w:p>
    <w:p w14:paraId="5939CAE7" w14:textId="24405139" w:rsidR="00CA5855" w:rsidRPr="00CA5855" w:rsidRDefault="000C0E42" w:rsidP="00CA5855">
      <w:pPr>
        <w:pStyle w:val="ListParagraph"/>
        <w:numPr>
          <w:ilvl w:val="0"/>
          <w:numId w:val="5"/>
        </w:numPr>
        <w:rPr>
          <w:bCs/>
        </w:rPr>
      </w:pPr>
      <w:r>
        <w:t>BPA identified and corrected a mistake i</w:t>
      </w:r>
      <w:r w:rsidR="00CA5855">
        <w:t>n the Load Following template</w:t>
      </w:r>
      <w:r>
        <w:t>,</w:t>
      </w:r>
      <w:r w:rsidR="004D2963">
        <w:t xml:space="preserve"> </w:t>
      </w:r>
      <w:r w:rsidR="00CA5855">
        <w:t>Exhibit C, Option 2</w:t>
      </w:r>
      <w:r>
        <w:t>,</w:t>
      </w:r>
      <w:r w:rsidR="00CA5855">
        <w:t xml:space="preserve"> sections 2.3 and 2.4 (JOE option language)</w:t>
      </w:r>
      <w:r>
        <w:t>.</w:t>
      </w:r>
      <w:r w:rsidR="00CA5855">
        <w:t xml:space="preserve"> Edits that were intended for </w:t>
      </w:r>
      <w:r w:rsidR="00CA5855" w:rsidRPr="00CA5855">
        <w:rPr>
          <w:bCs/>
        </w:rPr>
        <w:t>Exhibit C, Option 2 (for JOEs)</w:t>
      </w:r>
      <w:r>
        <w:rPr>
          <w:bCs/>
        </w:rPr>
        <w:t>,</w:t>
      </w:r>
      <w:r w:rsidR="00CA5855" w:rsidRPr="00CA5855">
        <w:rPr>
          <w:bCs/>
        </w:rPr>
        <w:t xml:space="preserve"> section 2.4 were accidently put into Exhibit C, Option 2 (for JOEs)</w:t>
      </w:r>
      <w:r>
        <w:rPr>
          <w:bCs/>
        </w:rPr>
        <w:t>,</w:t>
      </w:r>
      <w:r w:rsidR="00CA5855" w:rsidRPr="00CA5855">
        <w:rPr>
          <w:bCs/>
        </w:rPr>
        <w:t xml:space="preserve"> section 2.3.  The </w:t>
      </w:r>
      <w:r>
        <w:rPr>
          <w:bCs/>
        </w:rPr>
        <w:t xml:space="preserve">following </w:t>
      </w:r>
      <w:r w:rsidR="00CA5855" w:rsidRPr="00CA5855">
        <w:rPr>
          <w:bCs/>
        </w:rPr>
        <w:t>redlines show how BPA corrected the mistake.  The corrected language is now aligned with the non-JOE options 1 of these sections.</w:t>
      </w:r>
      <w:r w:rsidR="00501AD2">
        <w:rPr>
          <w:bCs/>
        </w:rPr>
        <w:t xml:space="preserve">  The correction is also addressed in Issue 53 of the Provider of Choice Contract Record of Decision.</w:t>
      </w:r>
    </w:p>
    <w:p w14:paraId="58A5C345" w14:textId="77777777" w:rsidR="00CA5855" w:rsidRDefault="00CA5855" w:rsidP="00CA5855">
      <w:pPr>
        <w:ind w:left="720"/>
        <w:rPr>
          <w:bCs/>
        </w:rPr>
      </w:pPr>
    </w:p>
    <w:p w14:paraId="06029DBF" w14:textId="77777777" w:rsidR="00CA5855" w:rsidRPr="00CA5855" w:rsidRDefault="00CA5855" w:rsidP="00AB229D">
      <w:pPr>
        <w:pStyle w:val="ListParagraph"/>
        <w:ind w:firstLine="720"/>
        <w:rPr>
          <w:rFonts w:ascii="Century Schoolbook" w:hAnsi="Century Schoolbook"/>
          <w:b/>
          <w:bCs/>
          <w:sz w:val="22"/>
          <w:u w:val="single"/>
        </w:rPr>
      </w:pPr>
      <w:r w:rsidRPr="00CA5855">
        <w:rPr>
          <w:rFonts w:ascii="Century Schoolbook" w:hAnsi="Century Schoolbook"/>
          <w:b/>
          <w:bCs/>
          <w:sz w:val="22"/>
          <w:u w:val="single"/>
        </w:rPr>
        <w:lastRenderedPageBreak/>
        <w:t>Exhibit C, 3</w:t>
      </w:r>
      <w:r w:rsidRPr="00CA5855">
        <w:rPr>
          <w:rFonts w:ascii="Century Schoolbook" w:hAnsi="Century Schoolbook"/>
          <w:b/>
          <w:bCs/>
          <w:sz w:val="22"/>
          <w:u w:val="single"/>
          <w:vertAlign w:val="superscript"/>
        </w:rPr>
        <w:t>rd</w:t>
      </w:r>
      <w:r w:rsidRPr="00CA5855">
        <w:rPr>
          <w:rFonts w:ascii="Century Schoolbook" w:hAnsi="Century Schoolbook"/>
          <w:b/>
          <w:bCs/>
          <w:sz w:val="22"/>
          <w:u w:val="single"/>
        </w:rPr>
        <w:t xml:space="preserve"> paragraph of section 2.3.1</w:t>
      </w:r>
    </w:p>
    <w:p w14:paraId="6C2A5F62" w14:textId="60E6CB98" w:rsidR="00CA5855" w:rsidRDefault="00CA5855" w:rsidP="00AB229D">
      <w:pPr>
        <w:ind w:left="720" w:firstLine="720"/>
      </w:pPr>
      <w:r w:rsidRPr="00CA5855">
        <w:rPr>
          <w:noProof/>
        </w:rPr>
        <w:drawing>
          <wp:inline distT="0" distB="0" distL="0" distR="0" wp14:anchorId="111D6CF3" wp14:editId="46EC2C93">
            <wp:extent cx="4549534" cy="1348857"/>
            <wp:effectExtent l="0" t="0" r="3810" b="3810"/>
            <wp:docPr id="2144533490" name="Picture 1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533490" name="Picture 1" descr="A close up of a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9534" cy="134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D6979" w14:textId="77777777" w:rsidR="00CA5855" w:rsidRDefault="00CA5855" w:rsidP="00CA5855">
      <w:pPr>
        <w:pStyle w:val="ListParagraph"/>
        <w:rPr>
          <w:rFonts w:ascii="Century Schoolbook" w:hAnsi="Century Schoolbook"/>
          <w:b/>
          <w:bCs/>
          <w:sz w:val="22"/>
          <w:u w:val="single"/>
        </w:rPr>
      </w:pPr>
    </w:p>
    <w:p w14:paraId="7094C849" w14:textId="1E5A18FD" w:rsidR="00CA5855" w:rsidRPr="00CA5855" w:rsidRDefault="00CA5855" w:rsidP="00AB229D">
      <w:pPr>
        <w:pStyle w:val="ListParagraph"/>
        <w:ind w:firstLine="720"/>
        <w:rPr>
          <w:rFonts w:ascii="Century Schoolbook" w:hAnsi="Century Schoolbook"/>
          <w:b/>
          <w:bCs/>
          <w:sz w:val="22"/>
          <w:u w:val="single"/>
        </w:rPr>
      </w:pPr>
      <w:r w:rsidRPr="00CA5855">
        <w:rPr>
          <w:rFonts w:ascii="Century Schoolbook" w:hAnsi="Century Schoolbook"/>
          <w:b/>
          <w:bCs/>
          <w:sz w:val="22"/>
          <w:u w:val="single"/>
        </w:rPr>
        <w:t>Exhibit C, 3</w:t>
      </w:r>
      <w:r w:rsidRPr="00CA5855">
        <w:rPr>
          <w:rFonts w:ascii="Century Schoolbook" w:hAnsi="Century Schoolbook"/>
          <w:b/>
          <w:bCs/>
          <w:sz w:val="22"/>
          <w:u w:val="single"/>
          <w:vertAlign w:val="superscript"/>
        </w:rPr>
        <w:t>rd</w:t>
      </w:r>
      <w:r w:rsidRPr="00CA5855">
        <w:rPr>
          <w:rFonts w:ascii="Century Schoolbook" w:hAnsi="Century Schoolbook"/>
          <w:b/>
          <w:bCs/>
          <w:sz w:val="22"/>
          <w:u w:val="single"/>
        </w:rPr>
        <w:t xml:space="preserve"> paragraph of section 2.4</w:t>
      </w:r>
    </w:p>
    <w:p w14:paraId="4D198035" w14:textId="191C4C0F" w:rsidR="00CA5855" w:rsidRDefault="00CA5855" w:rsidP="00AB229D">
      <w:pPr>
        <w:ind w:left="720" w:firstLine="720"/>
      </w:pPr>
      <w:r w:rsidRPr="00B64765">
        <w:rPr>
          <w:rFonts w:ascii="Century Schoolbook" w:hAnsi="Century Schoolbook"/>
          <w:noProof/>
          <w:sz w:val="22"/>
        </w:rPr>
        <w:drawing>
          <wp:inline distT="0" distB="0" distL="0" distR="0" wp14:anchorId="6D9E91D8" wp14:editId="7C8F3E68">
            <wp:extent cx="5495636" cy="1333500"/>
            <wp:effectExtent l="0" t="0" r="0" b="0"/>
            <wp:docPr id="1736635318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635318" name="Picture 1" descr="A close-up of a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6112" cy="133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66956" w14:textId="77777777" w:rsidR="00CA5855" w:rsidRDefault="00CA5855" w:rsidP="00CA5855"/>
    <w:p w14:paraId="5A83A273" w14:textId="5CEEA7E2" w:rsidR="00CA5855" w:rsidRDefault="00CA5855" w:rsidP="00650ABE">
      <w:pPr>
        <w:pStyle w:val="ListParagraph"/>
        <w:numPr>
          <w:ilvl w:val="0"/>
          <w:numId w:val="1"/>
        </w:numPr>
      </w:pPr>
      <w:r>
        <w:t xml:space="preserve">In the CF/CT table in </w:t>
      </w:r>
      <w:r w:rsidR="002A7799">
        <w:t xml:space="preserve">Option 2 of </w:t>
      </w:r>
      <w:r>
        <w:t>section 1.1 of Exhibit D</w:t>
      </w:r>
      <w:r w:rsidR="002A7799">
        <w:t xml:space="preserve"> (for those customers with a CF/CT)</w:t>
      </w:r>
      <w:r>
        <w:t xml:space="preserve">, BPA changed </w:t>
      </w:r>
      <w:r w:rsidR="00614AB1">
        <w:t>“MW”</w:t>
      </w:r>
      <w:r>
        <w:t xml:space="preserve"> to </w:t>
      </w:r>
      <w:r w:rsidR="00614AB1">
        <w:t>“</w:t>
      </w:r>
      <w:r>
        <w:t>aMW</w:t>
      </w:r>
      <w:r w:rsidR="00614AB1">
        <w:t>”</w:t>
      </w:r>
      <w:r>
        <w:t>.</w:t>
      </w:r>
    </w:p>
    <w:p w14:paraId="2D8874F4" w14:textId="78E25890" w:rsidR="00650ABE" w:rsidRDefault="00650ABE" w:rsidP="00650ABE">
      <w:pPr>
        <w:pStyle w:val="ListParagraph"/>
        <w:numPr>
          <w:ilvl w:val="0"/>
          <w:numId w:val="1"/>
        </w:numPr>
      </w:pPr>
      <w:r>
        <w:t xml:space="preserve">In </w:t>
      </w:r>
      <w:r w:rsidR="005054CE">
        <w:t>Slice/Block template, Exhibit F S</w:t>
      </w:r>
      <w:r>
        <w:t xml:space="preserve">ection 4 </w:t>
      </w:r>
      <w:r w:rsidR="00501AD2">
        <w:t>(for customers served exclusively or partially by transfer service)</w:t>
      </w:r>
      <w:r>
        <w:t>, BPA made the following edit:</w:t>
      </w:r>
    </w:p>
    <w:p w14:paraId="1F0768FC" w14:textId="77777777" w:rsidR="00650ABE" w:rsidRDefault="00650ABE"/>
    <w:p w14:paraId="28BBC486" w14:textId="77777777" w:rsidR="00650ABE" w:rsidRPr="00634EF7" w:rsidRDefault="00650ABE" w:rsidP="00AB229D">
      <w:pPr>
        <w:keepNext/>
        <w:ind w:left="1440"/>
        <w:rPr>
          <w:rFonts w:ascii="Century Schoolbook" w:hAnsi="Century Schoolbook"/>
          <w:b/>
          <w:color w:val="000000"/>
          <w:sz w:val="22"/>
        </w:rPr>
      </w:pPr>
      <w:r>
        <w:rPr>
          <w:rFonts w:ascii="Century Schoolbook" w:hAnsi="Century Schoolbook"/>
          <w:b/>
          <w:color w:val="000000"/>
          <w:sz w:val="22"/>
        </w:rPr>
        <w:t>“</w:t>
      </w:r>
      <w:r w:rsidRPr="00634EF7">
        <w:rPr>
          <w:rFonts w:ascii="Century Schoolbook" w:hAnsi="Century Schoolbook"/>
          <w:b/>
          <w:color w:val="000000"/>
          <w:sz w:val="22"/>
        </w:rPr>
        <w:t>4.</w:t>
      </w:r>
      <w:r w:rsidRPr="00634EF7">
        <w:rPr>
          <w:rFonts w:ascii="Century Schoolbook" w:hAnsi="Century Schoolbook"/>
          <w:b/>
          <w:color w:val="000000"/>
          <w:sz w:val="22"/>
        </w:rPr>
        <w:tab/>
      </w:r>
      <w:r w:rsidRPr="00634EF7">
        <w:rPr>
          <w:rFonts w:ascii="Century Schoolbook" w:hAnsi="Century Schoolbook"/>
          <w:b/>
          <w:sz w:val="22"/>
        </w:rPr>
        <w:t>CUSTOMER INPUT AND BOS FLEX SUBMISSION DEADLINE</w:t>
      </w:r>
    </w:p>
    <w:p w14:paraId="466F1063" w14:textId="77777777" w:rsidR="00650ABE" w:rsidRPr="00634EF7" w:rsidRDefault="00650ABE" w:rsidP="00AB229D">
      <w:pPr>
        <w:ind w:left="2160"/>
        <w:rPr>
          <w:rFonts w:ascii="Century Schoolbook" w:hAnsi="Century Schoolbook"/>
          <w:color w:val="000000"/>
          <w:sz w:val="22"/>
        </w:rPr>
      </w:pPr>
      <w:r w:rsidRPr="00634EF7">
        <w:rPr>
          <w:rFonts w:ascii="Century Schoolbook" w:hAnsi="Century Schoolbook"/>
          <w:color w:val="FF0000"/>
          <w:sz w:val="22"/>
        </w:rPr>
        <w:t>«Customer Name»</w:t>
      </w:r>
      <w:r w:rsidRPr="00634EF7">
        <w:rPr>
          <w:rFonts w:ascii="Century Schoolbook" w:hAnsi="Century Schoolbook"/>
          <w:color w:val="000000"/>
          <w:sz w:val="22"/>
        </w:rPr>
        <w:t xml:space="preserve"> shall have until 0800 hours Pacific Prevailing Time (PPT) on</w:t>
      </w:r>
      <w:r w:rsidRPr="00634EF7">
        <w:rPr>
          <w:rFonts w:ascii="Century Schoolbook" w:hAnsi="Century Schoolbook"/>
          <w:strike/>
          <w:color w:val="FF0000"/>
          <w:sz w:val="22"/>
        </w:rPr>
        <w:t xml:space="preserve"> of </w:t>
      </w:r>
      <w:r w:rsidRPr="00634EF7">
        <w:rPr>
          <w:rFonts w:ascii="Century Schoolbook" w:hAnsi="Century Schoolbook"/>
          <w:color w:val="000000"/>
          <w:sz w:val="22"/>
        </w:rPr>
        <w:t>each Slice Scheduling Day to submit revised Customer Inputs and BOS Flex requests for each Slice Operating Day,</w:t>
      </w:r>
      <w:r w:rsidRPr="00634EF7">
        <w:rPr>
          <w:rFonts w:ascii="Century Schoolbook" w:hAnsi="Century Schoolbook"/>
          <w:sz w:val="22"/>
          <w:szCs w:val="20"/>
          <w:lang w:bidi="x-none"/>
        </w:rPr>
        <w:t xml:space="preserve"> pursuant to section 7 of Exhibit L</w:t>
      </w:r>
      <w:r w:rsidRPr="00634EF7">
        <w:rPr>
          <w:rFonts w:ascii="Century Schoolbook" w:hAnsi="Century Schoolbook"/>
          <w:color w:val="000000"/>
          <w:sz w:val="22"/>
        </w:rPr>
        <w:t>.</w:t>
      </w:r>
      <w:r>
        <w:rPr>
          <w:rFonts w:ascii="Century Schoolbook" w:hAnsi="Century Schoolbook"/>
          <w:color w:val="000000"/>
          <w:sz w:val="22"/>
        </w:rPr>
        <w:t>”</w:t>
      </w:r>
    </w:p>
    <w:p w14:paraId="2735F2EA" w14:textId="5ED5D3ED" w:rsidR="00D145AD" w:rsidRDefault="00D145AD" w:rsidP="00650ABE">
      <w:pPr>
        <w:pStyle w:val="ListParagraph"/>
        <w:numPr>
          <w:ilvl w:val="0"/>
          <w:numId w:val="1"/>
        </w:numPr>
      </w:pPr>
      <w:r>
        <w:t xml:space="preserve">Deleted “the” from “the «Customer Name»” </w:t>
      </w:r>
      <w:r w:rsidR="00CA5855">
        <w:t xml:space="preserve">in </w:t>
      </w:r>
      <w:r w:rsidR="002A7799">
        <w:t xml:space="preserve">Option 2 of Exhibit G (for customers served by Transfer Service, all products), </w:t>
      </w:r>
      <w:r w:rsidR="00CA5855">
        <w:t>section 3.2.1</w:t>
      </w:r>
      <w:r w:rsidR="002A7799">
        <w:t>.</w:t>
      </w:r>
    </w:p>
    <w:p w14:paraId="332A56ED" w14:textId="1E6C73DE" w:rsidR="00650ABE" w:rsidRDefault="00650ABE" w:rsidP="00650ABE">
      <w:pPr>
        <w:pStyle w:val="ListParagraph"/>
        <w:numPr>
          <w:ilvl w:val="0"/>
          <w:numId w:val="1"/>
        </w:numPr>
      </w:pPr>
      <w:r>
        <w:t xml:space="preserve">Deleted “Power” from “Power Account Executive” from the BPA contact </w:t>
      </w:r>
      <w:r w:rsidR="00CA5855">
        <w:t xml:space="preserve">box </w:t>
      </w:r>
      <w:r>
        <w:t xml:space="preserve">in </w:t>
      </w:r>
      <w:r w:rsidR="005054CE">
        <w:t xml:space="preserve">Exhibit I </w:t>
      </w:r>
      <w:r>
        <w:t xml:space="preserve">section 1 </w:t>
      </w:r>
      <w:r w:rsidR="005054CE">
        <w:t>for all products</w:t>
      </w:r>
      <w:r>
        <w:t>.</w:t>
      </w:r>
    </w:p>
    <w:p w14:paraId="3960A094" w14:textId="77777777" w:rsidR="00CA5855" w:rsidRDefault="00CA5855" w:rsidP="00DC6D70">
      <w:pPr>
        <w:pStyle w:val="ListParagraph"/>
      </w:pPr>
    </w:p>
    <w:sectPr w:rsidR="00CA58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B797" w14:textId="77777777" w:rsidR="000F3752" w:rsidRDefault="000F3752" w:rsidP="00AC059C">
      <w:r>
        <w:separator/>
      </w:r>
    </w:p>
  </w:endnote>
  <w:endnote w:type="continuationSeparator" w:id="0">
    <w:p w14:paraId="2F1033B3" w14:textId="77777777" w:rsidR="000F3752" w:rsidRDefault="000F3752" w:rsidP="00AC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243B" w14:textId="77777777" w:rsidR="00B81CA2" w:rsidRDefault="00B81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060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0AEB4" w14:textId="7E96103F" w:rsidR="00BB227E" w:rsidRDefault="00BB227E" w:rsidP="00BB227E">
        <w:pPr>
          <w:pStyle w:val="Footer"/>
          <w:tabs>
            <w:tab w:val="left" w:pos="180"/>
          </w:tabs>
          <w:jc w:val="right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628E1E" w14:textId="2963ABC0" w:rsidR="00AC059C" w:rsidRDefault="00AC05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E4D4" w14:textId="77777777" w:rsidR="00B81CA2" w:rsidRDefault="00B81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7FC0" w14:textId="77777777" w:rsidR="000F3752" w:rsidRDefault="000F3752" w:rsidP="00AC059C">
      <w:r>
        <w:separator/>
      </w:r>
    </w:p>
  </w:footnote>
  <w:footnote w:type="continuationSeparator" w:id="0">
    <w:p w14:paraId="5E9946A6" w14:textId="77777777" w:rsidR="000F3752" w:rsidRDefault="000F3752" w:rsidP="00AC0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E361" w14:textId="77777777" w:rsidR="00B81CA2" w:rsidRDefault="00B81C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122D" w14:textId="536C951D" w:rsidR="00BB227E" w:rsidRPr="00BB227E" w:rsidRDefault="00BB227E" w:rsidP="00BB227E">
    <w:pPr>
      <w:jc w:val="center"/>
      <w:rPr>
        <w:b/>
        <w:bCs/>
        <w:sz w:val="28"/>
        <w:szCs w:val="28"/>
      </w:rPr>
    </w:pPr>
    <w:r w:rsidRPr="00BB227E">
      <w:rPr>
        <w:b/>
        <w:bCs/>
        <w:sz w:val="28"/>
        <w:szCs w:val="28"/>
      </w:rPr>
      <w:t>Summary of clean-up edits made to the August</w:t>
    </w:r>
    <w:r w:rsidR="00B81CA2">
      <w:rPr>
        <w:b/>
        <w:bCs/>
        <w:sz w:val="28"/>
        <w:szCs w:val="28"/>
      </w:rPr>
      <w:t xml:space="preserve"> 14</w:t>
    </w:r>
    <w:r w:rsidRPr="00BB227E">
      <w:rPr>
        <w:b/>
        <w:bCs/>
        <w:sz w:val="28"/>
        <w:szCs w:val="28"/>
      </w:rPr>
      <w:t>, 202</w:t>
    </w:r>
    <w:r w:rsidR="00B81CA2">
      <w:rPr>
        <w:b/>
        <w:bCs/>
        <w:sz w:val="28"/>
        <w:szCs w:val="28"/>
      </w:rPr>
      <w:t>5</w:t>
    </w:r>
    <w:r w:rsidRPr="00BB227E">
      <w:rPr>
        <w:b/>
        <w:bCs/>
        <w:sz w:val="28"/>
        <w:szCs w:val="28"/>
      </w:rPr>
      <w:t xml:space="preserve"> Final Provider of Choice CHWM Contract templates since the June 202</w:t>
    </w:r>
    <w:r w:rsidR="00B81CA2">
      <w:rPr>
        <w:b/>
        <w:bCs/>
        <w:sz w:val="28"/>
        <w:szCs w:val="28"/>
      </w:rPr>
      <w:t>5</w:t>
    </w:r>
    <w:r w:rsidRPr="00BB227E">
      <w:rPr>
        <w:b/>
        <w:bCs/>
        <w:sz w:val="28"/>
        <w:szCs w:val="28"/>
      </w:rPr>
      <w:t xml:space="preserve"> release</w:t>
    </w:r>
  </w:p>
  <w:p w14:paraId="3209B54E" w14:textId="77777777" w:rsidR="00BB227E" w:rsidRDefault="00BB22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F803" w14:textId="77777777" w:rsidR="00B81CA2" w:rsidRDefault="00B81C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27E"/>
    <w:multiLevelType w:val="hybridMultilevel"/>
    <w:tmpl w:val="D36C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7E3C"/>
    <w:multiLevelType w:val="hybridMultilevel"/>
    <w:tmpl w:val="2236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74580"/>
    <w:multiLevelType w:val="hybridMultilevel"/>
    <w:tmpl w:val="7DFA5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171B4"/>
    <w:multiLevelType w:val="hybridMultilevel"/>
    <w:tmpl w:val="6C74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0697F"/>
    <w:multiLevelType w:val="hybridMultilevel"/>
    <w:tmpl w:val="E938A80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221491">
    <w:abstractNumId w:val="0"/>
  </w:num>
  <w:num w:numId="2" w16cid:durableId="1839811008">
    <w:abstractNumId w:val="1"/>
  </w:num>
  <w:num w:numId="3" w16cid:durableId="106001200">
    <w:abstractNumId w:val="4"/>
  </w:num>
  <w:num w:numId="4" w16cid:durableId="1283920274">
    <w:abstractNumId w:val="3"/>
  </w:num>
  <w:num w:numId="5" w16cid:durableId="75532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BE"/>
    <w:rsid w:val="00056116"/>
    <w:rsid w:val="000C0E42"/>
    <w:rsid w:val="000C7E58"/>
    <w:rsid w:val="000F3752"/>
    <w:rsid w:val="001A4714"/>
    <w:rsid w:val="00273BAB"/>
    <w:rsid w:val="002A7799"/>
    <w:rsid w:val="003B6FED"/>
    <w:rsid w:val="00402F9D"/>
    <w:rsid w:val="004D2963"/>
    <w:rsid w:val="00501AD2"/>
    <w:rsid w:val="005054CE"/>
    <w:rsid w:val="00590EFB"/>
    <w:rsid w:val="005C3972"/>
    <w:rsid w:val="00614AB1"/>
    <w:rsid w:val="00650ABE"/>
    <w:rsid w:val="00690A0E"/>
    <w:rsid w:val="006C0878"/>
    <w:rsid w:val="00830A07"/>
    <w:rsid w:val="008B6F50"/>
    <w:rsid w:val="00AB229D"/>
    <w:rsid w:val="00AC059C"/>
    <w:rsid w:val="00B81CA2"/>
    <w:rsid w:val="00BB227E"/>
    <w:rsid w:val="00CA5855"/>
    <w:rsid w:val="00D145AD"/>
    <w:rsid w:val="00D77606"/>
    <w:rsid w:val="00DC6D70"/>
    <w:rsid w:val="00EA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7FAB1"/>
  <w15:chartTrackingRefBased/>
  <w15:docId w15:val="{69437593-F7F3-4818-B5D4-117539AD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A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A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A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A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A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A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A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A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A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A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A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A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A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A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A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A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A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A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AB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14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5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5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5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7606"/>
  </w:style>
  <w:style w:type="paragraph" w:styleId="Header">
    <w:name w:val="header"/>
    <w:basedOn w:val="Normal"/>
    <w:link w:val="HeaderChar"/>
    <w:uiPriority w:val="99"/>
    <w:unhideWhenUsed/>
    <w:rsid w:val="00AC0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59C"/>
  </w:style>
  <w:style w:type="paragraph" w:styleId="Footer">
    <w:name w:val="footer"/>
    <w:basedOn w:val="Normal"/>
    <w:link w:val="FooterChar"/>
    <w:uiPriority w:val="99"/>
    <w:unhideWhenUsed/>
    <w:rsid w:val="00AC0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75E6D83BBE84C80999CCBF94B2F61" ma:contentTypeVersion="0" ma:contentTypeDescription="Create a new document." ma:contentTypeScope="" ma:versionID="9b8bc68cd3bc3af383206591baaa43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E211-DBFE-4A6C-A822-47EA45209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37FEA-1BFA-479B-936F-17270CA57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B78C51-1AB0-4682-B681-31B4394719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Olive,Kelly J (BPA) - PSS-6</dc:creator>
  <cp:keywords/>
  <dc:description/>
  <cp:lastModifiedBy>Rhoads,Abigail M (BPA) - DKD-7</cp:lastModifiedBy>
  <cp:revision>2</cp:revision>
  <dcterms:created xsi:type="dcterms:W3CDTF">2025-08-14T18:29:00Z</dcterms:created>
  <dcterms:modified xsi:type="dcterms:W3CDTF">2025-08-14T18:29:00Z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0x0101002E075E6D83BBE84C80999CCBF94B2F61</vt:lpwstr>
  </property>
</Properties>
</file>