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3E021" w14:textId="77777777" w:rsidR="0063758B" w:rsidRPr="0063758B" w:rsidRDefault="0063758B" w:rsidP="00562CB3">
      <w:pPr>
        <w:spacing w:line="30" w:lineRule="atLeast"/>
        <w:rPr>
          <w:rFonts w:cstheme="minorHAnsi"/>
          <w:b/>
          <w:color w:val="1F497D" w:themeColor="text2"/>
          <w:sz w:val="24"/>
          <w:szCs w:val="24"/>
        </w:rPr>
      </w:pPr>
      <w:r w:rsidRPr="0063758B">
        <w:rPr>
          <w:rFonts w:cstheme="minorHAnsi"/>
          <w:b/>
          <w:color w:val="1F497D" w:themeColor="text2"/>
          <w:sz w:val="24"/>
          <w:szCs w:val="24"/>
        </w:rPr>
        <w:t>Aggregate Effect of All Requests to Change Products on BPA’s Peak Load Forecast</w:t>
      </w:r>
    </w:p>
    <w:p w14:paraId="74C3F4EB" w14:textId="22F17F0D" w:rsidR="00CC1D61" w:rsidRPr="0063758B" w:rsidRDefault="00CC1D61" w:rsidP="00562CB3">
      <w:pPr>
        <w:keepNext/>
        <w:spacing w:line="30" w:lineRule="atLeast"/>
        <w:rPr>
          <w:rFonts w:cstheme="minorHAnsi"/>
          <w:b/>
        </w:rPr>
      </w:pPr>
      <w:r w:rsidRPr="0063758B">
        <w:rPr>
          <w:rFonts w:cstheme="minorHAnsi"/>
          <w:b/>
        </w:rPr>
        <w:t>Assumptions and Methodology</w:t>
      </w:r>
    </w:p>
    <w:p w14:paraId="1C97CE8A" w14:textId="2A5C99A7" w:rsidR="00CC1D61" w:rsidRPr="0063758B" w:rsidRDefault="00CC1D61" w:rsidP="00562CB3">
      <w:pPr>
        <w:spacing w:line="30" w:lineRule="atLeast"/>
        <w:rPr>
          <w:rFonts w:cstheme="minorHAnsi"/>
        </w:rPr>
      </w:pPr>
      <w:r w:rsidRPr="0063758B">
        <w:rPr>
          <w:rFonts w:cstheme="minorHAnsi"/>
        </w:rPr>
        <w:t xml:space="preserve">The following </w:t>
      </w:r>
      <w:r w:rsidR="00103A5D">
        <w:rPr>
          <w:rFonts w:cstheme="minorHAnsi"/>
        </w:rPr>
        <w:t xml:space="preserve">three </w:t>
      </w:r>
      <w:r w:rsidRPr="0063758B">
        <w:rPr>
          <w:rFonts w:cstheme="minorHAnsi"/>
        </w:rPr>
        <w:t xml:space="preserve">PUDs have expressed interest in </w:t>
      </w:r>
      <w:r w:rsidR="00871E18">
        <w:rPr>
          <w:rFonts w:cstheme="minorHAnsi"/>
        </w:rPr>
        <w:t>changing</w:t>
      </w:r>
      <w:r w:rsidR="00871E18" w:rsidRPr="0063758B">
        <w:rPr>
          <w:rFonts w:cstheme="minorHAnsi"/>
        </w:rPr>
        <w:t xml:space="preserve"> </w:t>
      </w:r>
      <w:r w:rsidRPr="0063758B">
        <w:rPr>
          <w:rFonts w:cstheme="minorHAnsi"/>
        </w:rPr>
        <w:t>their C</w:t>
      </w:r>
      <w:r w:rsidR="00871E18">
        <w:rPr>
          <w:rFonts w:cstheme="minorHAnsi"/>
        </w:rPr>
        <w:t xml:space="preserve">ontract </w:t>
      </w:r>
      <w:r w:rsidRPr="0063758B">
        <w:rPr>
          <w:rFonts w:cstheme="minorHAnsi"/>
        </w:rPr>
        <w:t>H</w:t>
      </w:r>
      <w:r w:rsidR="00871E18">
        <w:rPr>
          <w:rFonts w:cstheme="minorHAnsi"/>
        </w:rPr>
        <w:t xml:space="preserve">igh </w:t>
      </w:r>
      <w:r w:rsidRPr="0063758B">
        <w:rPr>
          <w:rFonts w:cstheme="minorHAnsi"/>
        </w:rPr>
        <w:t>W</w:t>
      </w:r>
      <w:r w:rsidR="00871E18">
        <w:rPr>
          <w:rFonts w:cstheme="minorHAnsi"/>
        </w:rPr>
        <w:t xml:space="preserve">ater </w:t>
      </w:r>
      <w:r w:rsidRPr="0063758B">
        <w:rPr>
          <w:rFonts w:cstheme="minorHAnsi"/>
        </w:rPr>
        <w:t>M</w:t>
      </w:r>
      <w:r w:rsidR="00871E18">
        <w:rPr>
          <w:rFonts w:cstheme="minorHAnsi"/>
        </w:rPr>
        <w:t>ark (CHWM)</w:t>
      </w:r>
      <w:r w:rsidRPr="0063758B">
        <w:rPr>
          <w:rFonts w:cstheme="minorHAnsi"/>
        </w:rPr>
        <w:t xml:space="preserve"> Contract </w:t>
      </w:r>
      <w:r w:rsidR="00871E18">
        <w:rPr>
          <w:rFonts w:cstheme="minorHAnsi"/>
        </w:rPr>
        <w:t>purchase obligation</w:t>
      </w:r>
      <w:r w:rsidR="00871E18" w:rsidRPr="0063758B">
        <w:rPr>
          <w:rFonts w:cstheme="minorHAnsi"/>
        </w:rPr>
        <w:t xml:space="preserve"> </w:t>
      </w:r>
      <w:r w:rsidRPr="0063758B">
        <w:rPr>
          <w:rFonts w:cstheme="minorHAnsi"/>
        </w:rPr>
        <w:t xml:space="preserve">from Slice/Block to Load Following, effective October 1, </w:t>
      </w:r>
      <w:proofErr w:type="gramStart"/>
      <w:r w:rsidRPr="0063758B">
        <w:rPr>
          <w:rFonts w:cstheme="minorHAnsi"/>
        </w:rPr>
        <w:t>202</w:t>
      </w:r>
      <w:r w:rsidR="00544565">
        <w:rPr>
          <w:rFonts w:cstheme="minorHAnsi"/>
        </w:rPr>
        <w:t>5</w:t>
      </w:r>
      <w:proofErr w:type="gramEnd"/>
      <w:r w:rsidRPr="0063758B">
        <w:rPr>
          <w:rFonts w:cstheme="minorHAnsi"/>
        </w:rPr>
        <w:t xml:space="preserve"> through September 30, 2028: Clark, Emerald, and </w:t>
      </w:r>
      <w:r w:rsidR="00544565">
        <w:rPr>
          <w:rFonts w:cstheme="minorHAnsi"/>
        </w:rPr>
        <w:t>Snohomish</w:t>
      </w:r>
      <w:r w:rsidRPr="0063758B">
        <w:rPr>
          <w:rFonts w:cstheme="minorHAnsi"/>
        </w:rPr>
        <w:t xml:space="preserve">. </w:t>
      </w:r>
      <w:r w:rsidR="00871E18">
        <w:rPr>
          <w:rFonts w:cstheme="minorHAnsi"/>
        </w:rPr>
        <w:t xml:space="preserve">The remainder of this paper refers to the change in purchase obligation as a product change. </w:t>
      </w:r>
      <w:r w:rsidRPr="0063758B">
        <w:rPr>
          <w:rFonts w:cstheme="minorHAnsi"/>
        </w:rPr>
        <w:t xml:space="preserve"> Below is an analysis of the aggregate effect to BPA’s peak load obligations if all </w:t>
      </w:r>
      <w:r w:rsidR="00103A5D">
        <w:rPr>
          <w:rFonts w:cstheme="minorHAnsi"/>
        </w:rPr>
        <w:t>three</w:t>
      </w:r>
      <w:r w:rsidRPr="0063758B">
        <w:rPr>
          <w:rFonts w:cstheme="minorHAnsi"/>
        </w:rPr>
        <w:t xml:space="preserve"> customers </w:t>
      </w:r>
      <w:r w:rsidR="00871E18">
        <w:rPr>
          <w:rFonts w:cstheme="minorHAnsi"/>
        </w:rPr>
        <w:t xml:space="preserve">were to </w:t>
      </w:r>
      <w:r w:rsidRPr="0063758B">
        <w:rPr>
          <w:rFonts w:cstheme="minorHAnsi"/>
        </w:rPr>
        <w:t>switch products</w:t>
      </w:r>
      <w:r w:rsidR="002F1575" w:rsidRPr="0063758B">
        <w:rPr>
          <w:rFonts w:cstheme="minorHAnsi"/>
        </w:rPr>
        <w:t xml:space="preserve">.  </w:t>
      </w:r>
      <w:r w:rsidRPr="0063758B">
        <w:rPr>
          <w:rFonts w:cstheme="minorHAnsi"/>
        </w:rPr>
        <w:t>The aggregate ch</w:t>
      </w:r>
      <w:r w:rsidR="002F1575" w:rsidRPr="0063758B">
        <w:rPr>
          <w:rFonts w:cstheme="minorHAnsi"/>
        </w:rPr>
        <w:t>ange in BPA’s monthly peak load obligations</w:t>
      </w:r>
      <w:r w:rsidRPr="0063758B">
        <w:rPr>
          <w:rFonts w:cstheme="minorHAnsi"/>
        </w:rPr>
        <w:t xml:space="preserve"> is evaluated for Fiscal Year (FY) 202</w:t>
      </w:r>
      <w:r w:rsidR="00544565">
        <w:rPr>
          <w:rFonts w:cstheme="minorHAnsi"/>
        </w:rPr>
        <w:t>6</w:t>
      </w:r>
      <w:r w:rsidRPr="0063758B">
        <w:rPr>
          <w:rFonts w:cstheme="minorHAnsi"/>
        </w:rPr>
        <w:t xml:space="preserve"> consistent with the first year </w:t>
      </w:r>
      <w:r w:rsidR="002F1575" w:rsidRPr="0063758B">
        <w:rPr>
          <w:rFonts w:cstheme="minorHAnsi"/>
        </w:rPr>
        <w:t>of delivery under the new pro</w:t>
      </w:r>
      <w:r w:rsidR="00B3448C" w:rsidRPr="0063758B">
        <w:rPr>
          <w:rFonts w:cstheme="minorHAnsi"/>
        </w:rPr>
        <w:t>ducts</w:t>
      </w:r>
      <w:r w:rsidRPr="0063758B">
        <w:rPr>
          <w:rFonts w:cstheme="minorHAnsi"/>
        </w:rPr>
        <w:t>.  Quantifying the aggregate change in BPA’s monthly peak loads can be broken down into three discrete steps:</w:t>
      </w:r>
    </w:p>
    <w:p w14:paraId="06DB3EA8" w14:textId="7BD4E422" w:rsidR="00CC1D61" w:rsidRPr="0063758B" w:rsidRDefault="00CC1D61" w:rsidP="00562CB3">
      <w:pPr>
        <w:pStyle w:val="ListParagraph"/>
        <w:numPr>
          <w:ilvl w:val="0"/>
          <w:numId w:val="3"/>
        </w:numPr>
        <w:spacing w:line="30" w:lineRule="atLeast"/>
        <w:rPr>
          <w:rFonts w:cstheme="minorHAnsi"/>
        </w:rPr>
      </w:pPr>
      <w:r w:rsidRPr="0063758B">
        <w:rPr>
          <w:rFonts w:cstheme="minorHAnsi"/>
        </w:rPr>
        <w:t>For customers requesting to change products, forecast the aggregate monthly peak loads based on their current products.</w:t>
      </w:r>
    </w:p>
    <w:p w14:paraId="23FF6130" w14:textId="0CB8240C" w:rsidR="00CC1D61" w:rsidRPr="0063758B" w:rsidRDefault="00CC1D61" w:rsidP="00562CB3">
      <w:pPr>
        <w:pStyle w:val="ListParagraph"/>
        <w:numPr>
          <w:ilvl w:val="0"/>
          <w:numId w:val="3"/>
        </w:numPr>
        <w:spacing w:line="30" w:lineRule="atLeast"/>
        <w:rPr>
          <w:rFonts w:cstheme="minorHAnsi"/>
        </w:rPr>
      </w:pPr>
      <w:r w:rsidRPr="0063758B">
        <w:rPr>
          <w:rFonts w:cstheme="minorHAnsi"/>
        </w:rPr>
        <w:t>For the same subset of customers, forecast the aggregate monthly peak loads based on their requested product change.</w:t>
      </w:r>
    </w:p>
    <w:p w14:paraId="17404415" w14:textId="77777777" w:rsidR="00CC1D61" w:rsidRPr="0063758B" w:rsidRDefault="00CC1D61" w:rsidP="00562CB3">
      <w:pPr>
        <w:pStyle w:val="ListParagraph"/>
        <w:numPr>
          <w:ilvl w:val="0"/>
          <w:numId w:val="3"/>
        </w:numPr>
        <w:spacing w:line="30" w:lineRule="atLeast"/>
        <w:rPr>
          <w:rFonts w:cstheme="minorHAnsi"/>
        </w:rPr>
      </w:pPr>
      <w:r w:rsidRPr="0063758B">
        <w:rPr>
          <w:rFonts w:cstheme="minorHAnsi"/>
        </w:rPr>
        <w:t>Calculate the difference between the aggregate monthly peak loads based on their requested product change (2) and their current products (1).</w:t>
      </w:r>
    </w:p>
    <w:p w14:paraId="1780A4B6" w14:textId="027CBCAF" w:rsidR="00CC1D61" w:rsidRPr="00C20E9A" w:rsidRDefault="00CC1D61" w:rsidP="00562CB3">
      <w:pPr>
        <w:spacing w:line="30" w:lineRule="atLeast"/>
        <w:rPr>
          <w:rFonts w:cstheme="minorHAnsi"/>
        </w:rPr>
      </w:pPr>
      <w:r w:rsidRPr="0063758B">
        <w:rPr>
          <w:rFonts w:cstheme="minorHAnsi"/>
        </w:rPr>
        <w:t>The data sources and methodologies for the first two steps are summarized below</w:t>
      </w:r>
      <w:r w:rsidRPr="00103A5D">
        <w:rPr>
          <w:rFonts w:cstheme="minorHAnsi"/>
        </w:rPr>
        <w:t xml:space="preserve">.  </w:t>
      </w:r>
      <w:r w:rsidRPr="00C20E9A">
        <w:rPr>
          <w:rFonts w:cstheme="minorHAnsi"/>
        </w:rPr>
        <w:t>A fundamental assumption in this analysis is that no amount of the unsubscribed Slice is reallocated to any existing Slice/Block customer.</w:t>
      </w:r>
      <w:r w:rsidR="00D6287A" w:rsidRPr="00C20E9A">
        <w:rPr>
          <w:rFonts w:cstheme="minorHAnsi"/>
        </w:rPr>
        <w:t xml:space="preserve"> </w:t>
      </w:r>
    </w:p>
    <w:p w14:paraId="63B62478" w14:textId="15719F23" w:rsidR="00D6287A" w:rsidRPr="0063758B" w:rsidRDefault="006D411F" w:rsidP="00C20E9A">
      <w:pPr>
        <w:spacing w:line="30" w:lineRule="atLeast"/>
        <w:jc w:val="center"/>
        <w:rPr>
          <w:rFonts w:cstheme="minorHAnsi"/>
          <w:u w:val="single"/>
        </w:rPr>
      </w:pPr>
      <w:r w:rsidRPr="006D411F">
        <w:rPr>
          <w:noProof/>
        </w:rPr>
        <w:drawing>
          <wp:inline distT="0" distB="0" distL="0" distR="0" wp14:anchorId="1123FF16" wp14:editId="3813CA70">
            <wp:extent cx="5311140" cy="7391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1140" cy="739140"/>
                    </a:xfrm>
                    <a:prstGeom prst="rect">
                      <a:avLst/>
                    </a:prstGeom>
                    <a:noFill/>
                    <a:ln>
                      <a:noFill/>
                    </a:ln>
                  </pic:spPr>
                </pic:pic>
              </a:graphicData>
            </a:graphic>
          </wp:inline>
        </w:drawing>
      </w:r>
    </w:p>
    <w:p w14:paraId="3D3B8DBE" w14:textId="77777777" w:rsidR="00CC1D61" w:rsidRPr="0063758B" w:rsidRDefault="00CC1D61" w:rsidP="00562CB3">
      <w:pPr>
        <w:keepNext/>
        <w:spacing w:line="30" w:lineRule="atLeast"/>
        <w:rPr>
          <w:rFonts w:cstheme="minorHAnsi"/>
          <w:b/>
        </w:rPr>
      </w:pPr>
      <w:r w:rsidRPr="0063758B">
        <w:rPr>
          <w:rFonts w:cstheme="minorHAnsi"/>
          <w:b/>
        </w:rPr>
        <w:t>Peak Loads for Current Products</w:t>
      </w:r>
    </w:p>
    <w:p w14:paraId="30B991A2" w14:textId="77777777" w:rsidR="00CC1D61" w:rsidRPr="0063758B" w:rsidRDefault="00CC1D61" w:rsidP="00562CB3">
      <w:pPr>
        <w:spacing w:line="30" w:lineRule="atLeast"/>
        <w:rPr>
          <w:rFonts w:cstheme="minorHAnsi"/>
        </w:rPr>
      </w:pPr>
      <w:r w:rsidRPr="0063758B">
        <w:rPr>
          <w:rFonts w:cstheme="minorHAnsi"/>
        </w:rPr>
        <w:t>All customers requesting to change products are currently purchasing the Slice/Block product.  BPA recognizes there may be multiple reasonable assumptions to make when forecasting its monthly peak loads for Slice.  Consequently, results are presented for each of the following Slice assumptions:</w:t>
      </w:r>
    </w:p>
    <w:p w14:paraId="5A14C4FF" w14:textId="39A74D46" w:rsidR="00CC1D61" w:rsidRPr="0063758B" w:rsidRDefault="00CC1D61" w:rsidP="00562CB3">
      <w:pPr>
        <w:pStyle w:val="ListParagraph"/>
        <w:numPr>
          <w:ilvl w:val="0"/>
          <w:numId w:val="5"/>
        </w:numPr>
        <w:spacing w:line="30" w:lineRule="atLeast"/>
        <w:rPr>
          <w:rFonts w:cstheme="minorHAnsi"/>
        </w:rPr>
      </w:pPr>
      <w:r w:rsidRPr="0063758B">
        <w:rPr>
          <w:rFonts w:cstheme="minorHAnsi"/>
        </w:rPr>
        <w:t xml:space="preserve">The </w:t>
      </w:r>
      <w:r w:rsidR="00992658">
        <w:rPr>
          <w:rFonts w:cstheme="minorHAnsi"/>
        </w:rPr>
        <w:t>BP-24 Final Proposal Loads and Resources Study (outyear)</w:t>
      </w:r>
      <w:r w:rsidRPr="0063758B">
        <w:rPr>
          <w:rFonts w:cstheme="minorHAnsi"/>
        </w:rPr>
        <w:t xml:space="preserve"> monthly 1-hour peak</w:t>
      </w:r>
      <w:r w:rsidR="002F1575" w:rsidRPr="0063758B">
        <w:rPr>
          <w:rFonts w:cstheme="minorHAnsi"/>
        </w:rPr>
        <w:t xml:space="preserve"> Slice load forecast for FY 202</w:t>
      </w:r>
      <w:r w:rsidR="00023E2E">
        <w:rPr>
          <w:rFonts w:cstheme="minorHAnsi"/>
        </w:rPr>
        <w:t>6</w:t>
      </w:r>
      <w:r w:rsidRPr="0063758B">
        <w:rPr>
          <w:rFonts w:cstheme="minorHAnsi"/>
        </w:rPr>
        <w:t xml:space="preserve"> under </w:t>
      </w:r>
      <w:r w:rsidR="00544565">
        <w:rPr>
          <w:rFonts w:cstheme="minorHAnsi"/>
        </w:rPr>
        <w:t>P10 Firm</w:t>
      </w:r>
      <w:r w:rsidR="00023E2E">
        <w:rPr>
          <w:rFonts w:cstheme="minorHAnsi"/>
        </w:rPr>
        <w:t xml:space="preserve"> </w:t>
      </w:r>
      <w:r w:rsidR="00992658">
        <w:rPr>
          <w:rFonts w:cstheme="minorHAnsi"/>
        </w:rPr>
        <w:t>System Output</w:t>
      </w:r>
    </w:p>
    <w:p w14:paraId="69D65FF9" w14:textId="74F9609B" w:rsidR="002F1575" w:rsidRPr="0063758B" w:rsidRDefault="00CC1D61" w:rsidP="00562CB3">
      <w:pPr>
        <w:pStyle w:val="ListParagraph"/>
        <w:numPr>
          <w:ilvl w:val="0"/>
          <w:numId w:val="5"/>
        </w:numPr>
        <w:spacing w:line="30" w:lineRule="atLeast"/>
        <w:rPr>
          <w:rFonts w:cstheme="minorHAnsi"/>
        </w:rPr>
      </w:pPr>
      <w:r w:rsidRPr="0063758B">
        <w:rPr>
          <w:rFonts w:cstheme="minorHAnsi"/>
        </w:rPr>
        <w:t xml:space="preserve">The </w:t>
      </w:r>
      <w:r w:rsidR="00992658">
        <w:rPr>
          <w:rFonts w:cstheme="minorHAnsi"/>
        </w:rPr>
        <w:t>BP-24 Final Proposal Loads and Resources Study (outyear)</w:t>
      </w:r>
      <w:r w:rsidR="00992658" w:rsidRPr="0063758B">
        <w:rPr>
          <w:rFonts w:cstheme="minorHAnsi"/>
        </w:rPr>
        <w:t xml:space="preserve"> </w:t>
      </w:r>
      <w:r w:rsidRPr="0063758B">
        <w:rPr>
          <w:rFonts w:cstheme="minorHAnsi"/>
        </w:rPr>
        <w:t>monthly 1-hour peak Slice load forecast for FY 202</w:t>
      </w:r>
      <w:r w:rsidR="00023E2E">
        <w:rPr>
          <w:rFonts w:cstheme="minorHAnsi"/>
        </w:rPr>
        <w:t>6</w:t>
      </w:r>
      <w:r w:rsidR="002F1575" w:rsidRPr="0063758B">
        <w:rPr>
          <w:rFonts w:cstheme="minorHAnsi"/>
        </w:rPr>
        <w:t xml:space="preserve"> </w:t>
      </w:r>
      <w:r w:rsidRPr="0063758B">
        <w:rPr>
          <w:rFonts w:cstheme="minorHAnsi"/>
        </w:rPr>
        <w:t xml:space="preserve">under </w:t>
      </w:r>
      <w:r w:rsidR="00023E2E">
        <w:rPr>
          <w:rFonts w:cstheme="minorHAnsi"/>
        </w:rPr>
        <w:t>P50</w:t>
      </w:r>
      <w:r w:rsidRPr="0063758B">
        <w:rPr>
          <w:rFonts w:cstheme="minorHAnsi"/>
        </w:rPr>
        <w:t xml:space="preserve"> </w:t>
      </w:r>
      <w:r w:rsidR="00992658">
        <w:rPr>
          <w:rFonts w:cstheme="minorHAnsi"/>
        </w:rPr>
        <w:t>Median System Output</w:t>
      </w:r>
      <w:r w:rsidR="002F1575" w:rsidRPr="0063758B">
        <w:rPr>
          <w:rFonts w:cstheme="minorHAnsi"/>
        </w:rPr>
        <w:t xml:space="preserve"> </w:t>
      </w:r>
    </w:p>
    <w:p w14:paraId="602CBE87" w14:textId="30E1F4B0" w:rsidR="002F1575" w:rsidRPr="0063758B" w:rsidRDefault="002F1575" w:rsidP="00562CB3">
      <w:pPr>
        <w:pStyle w:val="ListParagraph"/>
        <w:numPr>
          <w:ilvl w:val="0"/>
          <w:numId w:val="5"/>
        </w:numPr>
        <w:spacing w:line="30" w:lineRule="atLeast"/>
        <w:rPr>
          <w:rFonts w:cstheme="minorHAnsi"/>
        </w:rPr>
      </w:pPr>
      <w:r w:rsidRPr="0063758B">
        <w:rPr>
          <w:rFonts w:cstheme="minorHAnsi"/>
        </w:rPr>
        <w:t>The highest monthly usage based on the average of FY 20</w:t>
      </w:r>
      <w:r w:rsidR="00023E2E">
        <w:rPr>
          <w:rFonts w:cstheme="minorHAnsi"/>
        </w:rPr>
        <w:t>21</w:t>
      </w:r>
      <w:r w:rsidRPr="0063758B">
        <w:rPr>
          <w:rFonts w:cstheme="minorHAnsi"/>
        </w:rPr>
        <w:t xml:space="preserve"> </w:t>
      </w:r>
      <w:r w:rsidR="00371788" w:rsidRPr="0063758B">
        <w:rPr>
          <w:rFonts w:cstheme="minorHAnsi"/>
        </w:rPr>
        <w:t>through</w:t>
      </w:r>
      <w:r w:rsidRPr="0063758B">
        <w:rPr>
          <w:rFonts w:cstheme="minorHAnsi"/>
        </w:rPr>
        <w:t xml:space="preserve"> FY 202</w:t>
      </w:r>
      <w:r w:rsidR="00023E2E">
        <w:rPr>
          <w:rFonts w:cstheme="minorHAnsi"/>
        </w:rPr>
        <w:t>3</w:t>
      </w:r>
      <w:r w:rsidRPr="0063758B">
        <w:rPr>
          <w:rFonts w:cstheme="minorHAnsi"/>
        </w:rPr>
        <w:t xml:space="preserve"> Slice Right </w:t>
      </w:r>
      <w:proofErr w:type="gramStart"/>
      <w:r w:rsidRPr="0063758B">
        <w:rPr>
          <w:rFonts w:cstheme="minorHAnsi"/>
        </w:rPr>
        <w:t>To</w:t>
      </w:r>
      <w:proofErr w:type="gramEnd"/>
      <w:r w:rsidRPr="0063758B">
        <w:rPr>
          <w:rFonts w:cstheme="minorHAnsi"/>
        </w:rPr>
        <w:t xml:space="preserve"> Power data</w:t>
      </w:r>
    </w:p>
    <w:p w14:paraId="2F96308A" w14:textId="1B9A65C0" w:rsidR="00CC1D61" w:rsidRPr="0063758B" w:rsidRDefault="002F1575" w:rsidP="00562CB3">
      <w:pPr>
        <w:pStyle w:val="ListParagraph"/>
        <w:numPr>
          <w:ilvl w:val="0"/>
          <w:numId w:val="5"/>
        </w:numPr>
        <w:spacing w:line="30" w:lineRule="atLeast"/>
        <w:rPr>
          <w:rFonts w:cstheme="minorHAnsi"/>
        </w:rPr>
      </w:pPr>
      <w:r w:rsidRPr="0063758B">
        <w:rPr>
          <w:rFonts w:cstheme="minorHAnsi"/>
        </w:rPr>
        <w:t xml:space="preserve">The highest theoretical monthly usage based on the average of FY </w:t>
      </w:r>
      <w:r w:rsidR="00371788" w:rsidRPr="0063758B">
        <w:rPr>
          <w:rFonts w:cstheme="minorHAnsi"/>
        </w:rPr>
        <w:t>20</w:t>
      </w:r>
      <w:r w:rsidR="00023E2E">
        <w:rPr>
          <w:rFonts w:cstheme="minorHAnsi"/>
        </w:rPr>
        <w:t>21</w:t>
      </w:r>
      <w:r w:rsidR="00371788" w:rsidRPr="0063758B">
        <w:rPr>
          <w:rFonts w:cstheme="minorHAnsi"/>
        </w:rPr>
        <w:t xml:space="preserve"> through</w:t>
      </w:r>
      <w:r w:rsidRPr="0063758B">
        <w:rPr>
          <w:rFonts w:cstheme="minorHAnsi"/>
        </w:rPr>
        <w:t xml:space="preserve"> FY 202</w:t>
      </w:r>
      <w:r w:rsidR="00023E2E">
        <w:rPr>
          <w:rFonts w:cstheme="minorHAnsi"/>
        </w:rPr>
        <w:t>3</w:t>
      </w:r>
      <w:r w:rsidRPr="0063758B">
        <w:rPr>
          <w:rFonts w:cstheme="minorHAnsi"/>
        </w:rPr>
        <w:t xml:space="preserve"> Slice Right </w:t>
      </w:r>
      <w:proofErr w:type="gramStart"/>
      <w:r w:rsidRPr="0063758B">
        <w:rPr>
          <w:rFonts w:cstheme="minorHAnsi"/>
        </w:rPr>
        <w:t>To</w:t>
      </w:r>
      <w:proofErr w:type="gramEnd"/>
      <w:r w:rsidRPr="0063758B">
        <w:rPr>
          <w:rFonts w:cstheme="minorHAnsi"/>
        </w:rPr>
        <w:t xml:space="preserve"> Power data assuming all </w:t>
      </w:r>
      <w:r w:rsidR="00992658">
        <w:rPr>
          <w:rFonts w:cstheme="minorHAnsi"/>
        </w:rPr>
        <w:t xml:space="preserve">three </w:t>
      </w:r>
      <w:r w:rsidRPr="0063758B">
        <w:rPr>
          <w:rFonts w:cstheme="minorHAnsi"/>
        </w:rPr>
        <w:t>customers used Slice in the same manner as the Slice/Block customer that shaped its Slice product most aggressively in each month</w:t>
      </w:r>
    </w:p>
    <w:p w14:paraId="2FD0DC66" w14:textId="4A445CCC" w:rsidR="00CC1D61" w:rsidRPr="0063758B" w:rsidRDefault="00CC1D61" w:rsidP="00562CB3">
      <w:pPr>
        <w:spacing w:line="30" w:lineRule="atLeast"/>
        <w:rPr>
          <w:rFonts w:cstheme="minorHAnsi"/>
        </w:rPr>
      </w:pPr>
      <w:r w:rsidRPr="0063758B">
        <w:rPr>
          <w:rFonts w:cstheme="minorHAnsi"/>
        </w:rPr>
        <w:t xml:space="preserve">The monthly load forecast for Block is based on the </w:t>
      </w:r>
      <w:r w:rsidR="00992658">
        <w:rPr>
          <w:rFonts w:cstheme="minorHAnsi"/>
        </w:rPr>
        <w:t>BP-24 Final Proposal Loads and Resources Study (outyear)</w:t>
      </w:r>
      <w:r w:rsidR="00992658" w:rsidRPr="0063758B">
        <w:rPr>
          <w:rFonts w:cstheme="minorHAnsi"/>
        </w:rPr>
        <w:t xml:space="preserve"> </w:t>
      </w:r>
      <w:r w:rsidRPr="0063758B">
        <w:rPr>
          <w:rFonts w:cstheme="minorHAnsi"/>
        </w:rPr>
        <w:t>forecast for FY 202</w:t>
      </w:r>
      <w:r w:rsidR="00023E2E">
        <w:rPr>
          <w:rFonts w:cstheme="minorHAnsi"/>
        </w:rPr>
        <w:t>6</w:t>
      </w:r>
      <w:r w:rsidRPr="0063758B">
        <w:rPr>
          <w:rFonts w:cstheme="minorHAnsi"/>
        </w:rPr>
        <w:t>.  The monthly Slice and Block loads are summed to calculate BPA’s monthly peak load.</w:t>
      </w:r>
    </w:p>
    <w:p w14:paraId="7AA40CB8" w14:textId="77777777" w:rsidR="00CC1D61" w:rsidRPr="0063758B" w:rsidRDefault="00CC1D61" w:rsidP="00562CB3">
      <w:pPr>
        <w:keepNext/>
        <w:spacing w:line="30" w:lineRule="atLeast"/>
        <w:rPr>
          <w:rFonts w:cstheme="minorHAnsi"/>
          <w:b/>
        </w:rPr>
      </w:pPr>
      <w:r w:rsidRPr="0063758B">
        <w:rPr>
          <w:rFonts w:cstheme="minorHAnsi"/>
          <w:b/>
        </w:rPr>
        <w:t>Peak Loads for Requested Products</w:t>
      </w:r>
    </w:p>
    <w:p w14:paraId="525A11A1" w14:textId="43CFACA1" w:rsidR="0017207A" w:rsidRPr="0063758B" w:rsidRDefault="002F1575" w:rsidP="00562CB3">
      <w:pPr>
        <w:spacing w:line="30" w:lineRule="atLeast"/>
        <w:rPr>
          <w:rFonts w:cstheme="minorHAnsi"/>
        </w:rPr>
      </w:pPr>
      <w:r w:rsidRPr="0063758B">
        <w:rPr>
          <w:rFonts w:cstheme="minorHAnsi"/>
        </w:rPr>
        <w:t xml:space="preserve">Since every customer has requested the Load Following product </w:t>
      </w:r>
      <w:r w:rsidR="009034E4" w:rsidRPr="0063758B">
        <w:rPr>
          <w:rFonts w:cstheme="minorHAnsi"/>
        </w:rPr>
        <w:t xml:space="preserve">the peak load amounts are calculated as the </w:t>
      </w:r>
      <w:r w:rsidR="00CC1D61" w:rsidRPr="0063758B">
        <w:rPr>
          <w:rFonts w:cstheme="minorHAnsi"/>
        </w:rPr>
        <w:t>customer’s FY 202</w:t>
      </w:r>
      <w:r w:rsidR="00023E2E">
        <w:rPr>
          <w:rFonts w:cstheme="minorHAnsi"/>
        </w:rPr>
        <w:t>6</w:t>
      </w:r>
      <w:r w:rsidR="00CC1D61" w:rsidRPr="0063758B">
        <w:rPr>
          <w:rFonts w:cstheme="minorHAnsi"/>
        </w:rPr>
        <w:t xml:space="preserve"> monthly peak total retail load minus the customer’s FY 20</w:t>
      </w:r>
      <w:r w:rsidR="009034E4" w:rsidRPr="0063758B">
        <w:rPr>
          <w:rFonts w:cstheme="minorHAnsi"/>
        </w:rPr>
        <w:t>2</w:t>
      </w:r>
      <w:r w:rsidR="00023E2E">
        <w:rPr>
          <w:rFonts w:cstheme="minorHAnsi"/>
        </w:rPr>
        <w:t>6</w:t>
      </w:r>
      <w:r w:rsidR="00CC1D61" w:rsidRPr="0063758B">
        <w:rPr>
          <w:rFonts w:cstheme="minorHAnsi"/>
        </w:rPr>
        <w:t xml:space="preserve"> monthly dedicated resources.  </w:t>
      </w:r>
      <w:r w:rsidR="00CC1D61" w:rsidRPr="0063758B">
        <w:rPr>
          <w:rFonts w:cstheme="minorHAnsi"/>
        </w:rPr>
        <w:lastRenderedPageBreak/>
        <w:t xml:space="preserve">The </w:t>
      </w:r>
      <w:r w:rsidR="00000F19">
        <w:rPr>
          <w:rFonts w:cstheme="minorHAnsi"/>
        </w:rPr>
        <w:t xml:space="preserve">BP-24 Final Proposal </w:t>
      </w:r>
      <w:r w:rsidR="00A872E6">
        <w:rPr>
          <w:rFonts w:cstheme="minorHAnsi"/>
        </w:rPr>
        <w:t>Loads and Resources</w:t>
      </w:r>
      <w:r w:rsidR="00000F19">
        <w:rPr>
          <w:rFonts w:cstheme="minorHAnsi"/>
        </w:rPr>
        <w:t xml:space="preserve"> </w:t>
      </w:r>
      <w:r w:rsidR="00A87170">
        <w:rPr>
          <w:rFonts w:cstheme="minorHAnsi"/>
        </w:rPr>
        <w:t>S</w:t>
      </w:r>
      <w:r w:rsidR="00000F19">
        <w:rPr>
          <w:rFonts w:cstheme="minorHAnsi"/>
        </w:rPr>
        <w:t>tudy</w:t>
      </w:r>
      <w:r w:rsidR="00CC1D61" w:rsidRPr="0063758B">
        <w:rPr>
          <w:rFonts w:cstheme="minorHAnsi"/>
        </w:rPr>
        <w:t xml:space="preserve"> </w:t>
      </w:r>
      <w:r w:rsidR="00A87170">
        <w:rPr>
          <w:rFonts w:cstheme="minorHAnsi"/>
        </w:rPr>
        <w:t xml:space="preserve">(outyear) </w:t>
      </w:r>
      <w:r w:rsidR="00CC1D61" w:rsidRPr="0063758B">
        <w:rPr>
          <w:rFonts w:cstheme="minorHAnsi"/>
        </w:rPr>
        <w:t xml:space="preserve">monthly 1-hour peak total retail load forecast and customer’s </w:t>
      </w:r>
      <w:r w:rsidR="00D6386E">
        <w:rPr>
          <w:rFonts w:cstheme="minorHAnsi"/>
        </w:rPr>
        <w:t>CHWM</w:t>
      </w:r>
      <w:r w:rsidR="00D6386E" w:rsidRPr="0063758B">
        <w:rPr>
          <w:rFonts w:cstheme="minorHAnsi"/>
        </w:rPr>
        <w:t xml:space="preserve"> </w:t>
      </w:r>
      <w:r w:rsidR="00CC1D61" w:rsidRPr="0063758B">
        <w:rPr>
          <w:rFonts w:cstheme="minorHAnsi"/>
        </w:rPr>
        <w:t>contract Exhibit A dedicated resource information serve as the data sources for this calculation.</w:t>
      </w:r>
      <w:r w:rsidR="00F916D6" w:rsidRPr="0063758B">
        <w:rPr>
          <w:rFonts w:cstheme="minorHAnsi"/>
        </w:rPr>
        <w:t xml:space="preserve"> </w:t>
      </w:r>
      <w:r w:rsidR="00165320">
        <w:rPr>
          <w:rFonts w:cstheme="minorHAnsi"/>
        </w:rPr>
        <w:t xml:space="preserve"> </w:t>
      </w:r>
    </w:p>
    <w:p w14:paraId="578450EB" w14:textId="77777777" w:rsidR="00CC1D61" w:rsidRPr="0063758B" w:rsidRDefault="00CC1D61" w:rsidP="00562CB3">
      <w:pPr>
        <w:keepNext/>
        <w:spacing w:line="30" w:lineRule="atLeast"/>
        <w:rPr>
          <w:rFonts w:cstheme="minorHAnsi"/>
          <w:b/>
        </w:rPr>
      </w:pPr>
      <w:r w:rsidRPr="0063758B">
        <w:rPr>
          <w:rFonts w:cstheme="minorHAnsi"/>
          <w:b/>
        </w:rPr>
        <w:t>Results</w:t>
      </w:r>
    </w:p>
    <w:p w14:paraId="0A213812" w14:textId="314FE03B" w:rsidR="00CC1D61" w:rsidRDefault="00910CFF" w:rsidP="00562CB3">
      <w:pPr>
        <w:spacing w:line="30" w:lineRule="atLeast"/>
        <w:rPr>
          <w:rFonts w:cstheme="minorHAnsi"/>
        </w:rPr>
      </w:pPr>
      <w:r>
        <w:rPr>
          <w:rFonts w:cstheme="minorHAnsi"/>
        </w:rPr>
        <w:t xml:space="preserve">If BPA permitted all </w:t>
      </w:r>
      <w:r w:rsidR="000E0571">
        <w:rPr>
          <w:rFonts w:cstheme="minorHAnsi"/>
        </w:rPr>
        <w:t>three</w:t>
      </w:r>
      <w:r>
        <w:rPr>
          <w:rFonts w:cstheme="minorHAnsi"/>
        </w:rPr>
        <w:t xml:space="preserve"> customers</w:t>
      </w:r>
      <w:r w:rsidR="00856063">
        <w:rPr>
          <w:rFonts w:cstheme="minorHAnsi"/>
        </w:rPr>
        <w:t xml:space="preserve"> to</w:t>
      </w:r>
      <w:r>
        <w:rPr>
          <w:rFonts w:cstheme="minorHAnsi"/>
        </w:rPr>
        <w:t xml:space="preserve"> change their purchase obligation to load following, t</w:t>
      </w:r>
      <w:r w:rsidR="00CC1D61" w:rsidRPr="0063758B">
        <w:rPr>
          <w:rFonts w:cstheme="minorHAnsi"/>
        </w:rPr>
        <w:t>he aggregate effect on BPA’s forecast of its total monthly peak loads is shown below</w:t>
      </w:r>
      <w:r w:rsidR="00C0142E">
        <w:rPr>
          <w:rFonts w:cstheme="minorHAnsi"/>
        </w:rPr>
        <w:t>.</w:t>
      </w:r>
      <w:r w:rsidR="00671964" w:rsidRPr="0063758B">
        <w:rPr>
          <w:rFonts w:cstheme="minorHAnsi"/>
        </w:rPr>
        <w:t xml:space="preserve">  </w:t>
      </w:r>
      <w:r w:rsidR="00C0142E" w:rsidRPr="00C0142E">
        <w:rPr>
          <w:rFonts w:cstheme="minorHAnsi"/>
        </w:rPr>
        <w:t xml:space="preserve">The results indicate </w:t>
      </w:r>
      <w:r w:rsidR="000E0571">
        <w:rPr>
          <w:rFonts w:cstheme="minorHAnsi"/>
        </w:rPr>
        <w:t>under three</w:t>
      </w:r>
      <w:r w:rsidR="00C0142E" w:rsidRPr="00C0142E">
        <w:rPr>
          <w:rFonts w:cstheme="minorHAnsi"/>
        </w:rPr>
        <w:t xml:space="preserve"> of the Slice assumption</w:t>
      </w:r>
      <w:r w:rsidR="000E0571">
        <w:rPr>
          <w:rFonts w:cstheme="minorHAnsi"/>
        </w:rPr>
        <w:t xml:space="preserve">s </w:t>
      </w:r>
      <w:r w:rsidR="00C0142E" w:rsidRPr="00C0142E">
        <w:rPr>
          <w:rFonts w:cstheme="minorHAnsi"/>
        </w:rPr>
        <w:t>the</w:t>
      </w:r>
      <w:r w:rsidR="000E0571">
        <w:rPr>
          <w:rFonts w:cstheme="minorHAnsi"/>
        </w:rPr>
        <w:t>re is an</w:t>
      </w:r>
      <w:r w:rsidR="00C0142E" w:rsidRPr="00C0142E">
        <w:rPr>
          <w:rFonts w:cstheme="minorHAnsi"/>
        </w:rPr>
        <w:t xml:space="preserve"> increase in BPA’s forecast of its total monthly peak load</w:t>
      </w:r>
      <w:r w:rsidR="000E0571">
        <w:rPr>
          <w:rFonts w:cstheme="minorHAnsi"/>
        </w:rPr>
        <w:t>s that</w:t>
      </w:r>
      <w:r w:rsidR="00C0142E" w:rsidRPr="00C0142E">
        <w:rPr>
          <w:rFonts w:cstheme="minorHAnsi"/>
        </w:rPr>
        <w:t xml:space="preserve"> exceed 300 MW.</w:t>
      </w:r>
      <w:r w:rsidR="00C0142E">
        <w:rPr>
          <w:rFonts w:cstheme="minorHAnsi"/>
        </w:rPr>
        <w:t xml:space="preserve">  </w:t>
      </w:r>
    </w:p>
    <w:p w14:paraId="386C76F8" w14:textId="77458399" w:rsidR="00BD0889" w:rsidRDefault="00000F19" w:rsidP="00C20E9A">
      <w:pPr>
        <w:spacing w:line="30" w:lineRule="atLeast"/>
        <w:jc w:val="center"/>
        <w:rPr>
          <w:rFonts w:cstheme="minorHAnsi"/>
        </w:rPr>
      </w:pPr>
      <w:r w:rsidRPr="00000F19">
        <w:rPr>
          <w:noProof/>
        </w:rPr>
        <w:drawing>
          <wp:inline distT="0" distB="0" distL="0" distR="0" wp14:anchorId="338FB3C5" wp14:editId="78A22B61">
            <wp:extent cx="6756400" cy="1005840"/>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73294" cy="1008355"/>
                    </a:xfrm>
                    <a:prstGeom prst="rect">
                      <a:avLst/>
                    </a:prstGeom>
                    <a:noFill/>
                    <a:ln>
                      <a:noFill/>
                    </a:ln>
                  </pic:spPr>
                </pic:pic>
              </a:graphicData>
            </a:graphic>
          </wp:inline>
        </w:drawing>
      </w:r>
    </w:p>
    <w:p w14:paraId="33C1A5A2" w14:textId="77777777" w:rsidR="00D70403" w:rsidRPr="0063758B" w:rsidRDefault="00D70403" w:rsidP="00D70403">
      <w:pPr>
        <w:keepNext/>
        <w:spacing w:line="30" w:lineRule="atLeast"/>
        <w:rPr>
          <w:rFonts w:cstheme="minorHAnsi"/>
          <w:b/>
        </w:rPr>
      </w:pPr>
      <w:r>
        <w:rPr>
          <w:rFonts w:cstheme="minorHAnsi"/>
          <w:b/>
        </w:rPr>
        <w:t>WRAP Consideration</w:t>
      </w:r>
    </w:p>
    <w:p w14:paraId="26FC01BC" w14:textId="3D0A1BCE" w:rsidR="00D70403" w:rsidRDefault="00D70403" w:rsidP="00D70403">
      <w:pPr>
        <w:spacing w:line="30" w:lineRule="atLeast"/>
        <w:rPr>
          <w:rFonts w:cstheme="minorHAnsi"/>
        </w:rPr>
      </w:pPr>
      <w:r>
        <w:rPr>
          <w:rFonts w:cstheme="minorHAnsi"/>
        </w:rPr>
        <w:t>While the Western Resource Adequacy Program (WRAP) was not envisioned at the time the T</w:t>
      </w:r>
      <w:r w:rsidR="00910CFF">
        <w:rPr>
          <w:rFonts w:cstheme="minorHAnsi"/>
        </w:rPr>
        <w:t xml:space="preserve">iered </w:t>
      </w:r>
      <w:r>
        <w:rPr>
          <w:rFonts w:cstheme="minorHAnsi"/>
        </w:rPr>
        <w:t>R</w:t>
      </w:r>
      <w:r w:rsidR="00910CFF">
        <w:rPr>
          <w:rFonts w:cstheme="minorHAnsi"/>
        </w:rPr>
        <w:t>ate Methodology (TRM)</w:t>
      </w:r>
      <w:r>
        <w:rPr>
          <w:rFonts w:cstheme="minorHAnsi"/>
        </w:rPr>
        <w:t xml:space="preserve"> was developed, today it is prudent to at least think about the effect product switching could have on other customers</w:t>
      </w:r>
      <w:r w:rsidR="00910CFF">
        <w:rPr>
          <w:rFonts w:cstheme="minorHAnsi"/>
        </w:rPr>
        <w:t xml:space="preserve"> from a resource adequacy perspective</w:t>
      </w:r>
      <w:r>
        <w:rPr>
          <w:rFonts w:cstheme="minorHAnsi"/>
        </w:rPr>
        <w:t xml:space="preserve">.  While the analysis performed as part of this evaluation is not consistent with WRAP methodologies, it can lend some strong data for thought.  For loads the WRAP analysis looks at a P50 load forecast, if we use the </w:t>
      </w:r>
      <w:r w:rsidR="007D7E36">
        <w:rPr>
          <w:rFonts w:cstheme="minorHAnsi"/>
        </w:rPr>
        <w:t>P50 Median Firm System Output</w:t>
      </w:r>
      <w:r>
        <w:rPr>
          <w:rFonts w:cstheme="minorHAnsi"/>
        </w:rPr>
        <w:t xml:space="preserve"> Slice Aggregate Peak Load Forecasts amounts presented above, we see a winter season peak change of </w:t>
      </w:r>
      <w:r w:rsidR="007D7E36">
        <w:rPr>
          <w:rFonts w:cstheme="minorHAnsi"/>
        </w:rPr>
        <w:t>319</w:t>
      </w:r>
      <w:r>
        <w:rPr>
          <w:rFonts w:cstheme="minorHAnsi"/>
        </w:rPr>
        <w:t xml:space="preserve"> MW and a summer season peak change of </w:t>
      </w:r>
      <w:r w:rsidR="007D7E36">
        <w:rPr>
          <w:rFonts w:cstheme="minorHAnsi"/>
        </w:rPr>
        <w:t>237</w:t>
      </w:r>
      <w:r>
        <w:rPr>
          <w:rFonts w:cstheme="minorHAnsi"/>
        </w:rPr>
        <w:t xml:space="preserve"> MW.  On the </w:t>
      </w:r>
      <w:r w:rsidR="00910CFF">
        <w:rPr>
          <w:rFonts w:cstheme="minorHAnsi"/>
        </w:rPr>
        <w:t>r</w:t>
      </w:r>
      <w:r>
        <w:rPr>
          <w:rFonts w:cstheme="minorHAnsi"/>
        </w:rPr>
        <w:t xml:space="preserve">esource side WRAP looks at the Qualifying Capacity Contribution (QCC) value of resources, as noted above the aggregated slice share of the </w:t>
      </w:r>
      <w:r w:rsidR="007D7E36">
        <w:rPr>
          <w:rFonts w:cstheme="minorHAnsi"/>
        </w:rPr>
        <w:t xml:space="preserve">three </w:t>
      </w:r>
      <w:r w:rsidRPr="0063758B">
        <w:rPr>
          <w:rFonts w:cstheme="minorHAnsi"/>
        </w:rPr>
        <w:t>customers’ request</w:t>
      </w:r>
      <w:r w:rsidR="00910CFF">
        <w:rPr>
          <w:rFonts w:cstheme="minorHAnsi"/>
        </w:rPr>
        <w:t xml:space="preserve">ing </w:t>
      </w:r>
      <w:r w:rsidRPr="0063758B">
        <w:rPr>
          <w:rFonts w:cstheme="minorHAnsi"/>
        </w:rPr>
        <w:t>to change products</w:t>
      </w:r>
      <w:r>
        <w:rPr>
          <w:rFonts w:cstheme="minorHAnsi"/>
        </w:rPr>
        <w:t xml:space="preserve"> is </w:t>
      </w:r>
      <w:r w:rsidR="006C2086">
        <w:rPr>
          <w:rFonts w:cstheme="minorHAnsi"/>
        </w:rPr>
        <w:t>7.99</w:t>
      </w:r>
      <w:r>
        <w:rPr>
          <w:rFonts w:cstheme="minorHAnsi"/>
        </w:rPr>
        <w:t xml:space="preserve">%.  From WRAP estimates we have available at this time, this </w:t>
      </w:r>
      <w:r w:rsidR="006C2086">
        <w:rPr>
          <w:rFonts w:cstheme="minorHAnsi"/>
        </w:rPr>
        <w:t>7.99</w:t>
      </w:r>
      <w:r>
        <w:rPr>
          <w:rFonts w:cstheme="minorHAnsi"/>
        </w:rPr>
        <w:t xml:space="preserve">% would account for more than </w:t>
      </w:r>
      <w:r w:rsidR="007D7E36">
        <w:rPr>
          <w:rFonts w:cstheme="minorHAnsi"/>
        </w:rPr>
        <w:t xml:space="preserve">1000 </w:t>
      </w:r>
      <w:r>
        <w:rPr>
          <w:rFonts w:cstheme="minorHAnsi"/>
        </w:rPr>
        <w:t>MW of QCC in each season becoming available for BPA, resulting in additional QCC surplus at Forward Showing.  In the WRAP’s Operations time frame BPA would have a higher Forward Showing Capacity Requirement coming in, would have a large</w:t>
      </w:r>
      <w:r w:rsidR="00910CFF">
        <w:rPr>
          <w:rFonts w:cstheme="minorHAnsi"/>
        </w:rPr>
        <w:t>r</w:t>
      </w:r>
      <w:r>
        <w:rPr>
          <w:rFonts w:cstheme="minorHAnsi"/>
        </w:rPr>
        <w:t xml:space="preserve"> load also associated, but would also have the additional </w:t>
      </w:r>
      <w:r w:rsidR="006C2086">
        <w:rPr>
          <w:rFonts w:cstheme="minorHAnsi"/>
        </w:rPr>
        <w:t>7.99</w:t>
      </w:r>
      <w:r>
        <w:rPr>
          <w:rFonts w:cstheme="minorHAnsi"/>
        </w:rPr>
        <w:t>% of the resource available in its operational control</w:t>
      </w:r>
      <w:r w:rsidR="00910CFF">
        <w:rPr>
          <w:rFonts w:cstheme="minorHAnsi"/>
        </w:rPr>
        <w:t>.</w:t>
      </w:r>
      <w:r>
        <w:rPr>
          <w:rFonts w:cstheme="minorHAnsi"/>
        </w:rPr>
        <w:t xml:space="preserve"> BPA would manage its resource fleet as needed without any currently identified negative issues.</w:t>
      </w:r>
    </w:p>
    <w:p w14:paraId="50EFD204" w14:textId="6F7564F3" w:rsidR="0063758B" w:rsidRPr="00896F54" w:rsidRDefault="0063758B" w:rsidP="00562CB3">
      <w:pPr>
        <w:spacing w:line="30" w:lineRule="atLeast"/>
        <w:rPr>
          <w:rFonts w:cstheme="minorHAnsi"/>
          <w:b/>
          <w:color w:val="1F497D" w:themeColor="text2"/>
          <w:sz w:val="24"/>
          <w:szCs w:val="24"/>
        </w:rPr>
      </w:pPr>
      <w:r w:rsidRPr="00896F54">
        <w:rPr>
          <w:rFonts w:cstheme="minorHAnsi"/>
          <w:b/>
          <w:color w:val="1F497D" w:themeColor="text2"/>
          <w:sz w:val="24"/>
          <w:szCs w:val="24"/>
        </w:rPr>
        <w:t>Evaluation of Potential Charge for Product Switch from Slice/Block to Load Following</w:t>
      </w:r>
    </w:p>
    <w:p w14:paraId="1B58D2E0" w14:textId="363B4BFC" w:rsidR="0063758B" w:rsidRPr="0063758B" w:rsidRDefault="0063758B" w:rsidP="00562CB3">
      <w:pPr>
        <w:spacing w:line="30" w:lineRule="atLeast"/>
        <w:rPr>
          <w:rFonts w:cstheme="minorHAnsi"/>
        </w:rPr>
      </w:pPr>
      <w:r>
        <w:rPr>
          <w:rFonts w:cstheme="minorHAnsi"/>
        </w:rPr>
        <w:t>The TRM allowed</w:t>
      </w:r>
      <w:r w:rsidRPr="0063758B">
        <w:rPr>
          <w:rFonts w:cstheme="minorHAnsi"/>
        </w:rPr>
        <w:t xml:space="preserve"> for a one-time consideration of a product switch.  At the outset of the Regional Dialogue there was concern that switching products could impose unfair cost shifts on other customers.  Therefore, BPA retained the right to apply a special charge on customers whose product change would impose a greater burden of costs upon other, non-switching customers.</w:t>
      </w:r>
    </w:p>
    <w:p w14:paraId="399E92AC" w14:textId="77777777" w:rsidR="0063758B" w:rsidRPr="0063758B" w:rsidRDefault="0063758B" w:rsidP="00562CB3">
      <w:pPr>
        <w:spacing w:line="30" w:lineRule="atLeast"/>
        <w:rPr>
          <w:rFonts w:cstheme="minorHAnsi"/>
        </w:rPr>
      </w:pPr>
      <w:r w:rsidRPr="0063758B">
        <w:rPr>
          <w:rFonts w:cstheme="minorHAnsi"/>
        </w:rPr>
        <w:t>The principles of the TRM are designed to treat customers fairly regardless of the product choices they make and the resulting impact of those choices on BPA and other customers. Through the TRM’s existing rate design, a product switch would already account for differing impacts associated with product choice. The three fundamental components to consider are: 1) allocation of costs and credits (</w:t>
      </w:r>
      <w:r w:rsidRPr="0063758B">
        <w:rPr>
          <w:rFonts w:cstheme="minorHAnsi"/>
          <w:i/>
        </w:rPr>
        <w:t>e.g.</w:t>
      </w:r>
      <w:r w:rsidRPr="0063758B">
        <w:rPr>
          <w:rFonts w:cstheme="minorHAnsi"/>
        </w:rPr>
        <w:t>, allocation of secondary energy revenue); 2) impact to BPA’s balancing energy costs; and 3) use of and payment for capacity.</w:t>
      </w:r>
    </w:p>
    <w:p w14:paraId="136DAC46" w14:textId="76E03352" w:rsidR="0063758B" w:rsidRDefault="0063758B" w:rsidP="00562CB3">
      <w:pPr>
        <w:spacing w:line="30" w:lineRule="atLeast"/>
        <w:rPr>
          <w:rFonts w:cstheme="minorHAnsi"/>
        </w:rPr>
      </w:pPr>
      <w:r w:rsidRPr="0063758B">
        <w:rPr>
          <w:rFonts w:cstheme="minorHAnsi"/>
        </w:rPr>
        <w:lastRenderedPageBreak/>
        <w:t>On the first factor, with the exception to timing complications caused by BPA’s debt actions</w:t>
      </w:r>
      <w:r w:rsidRPr="0063758B">
        <w:rPr>
          <w:rFonts w:cstheme="minorHAnsi"/>
          <w:vertAlign w:val="superscript"/>
        </w:rPr>
        <w:footnoteReference w:id="2"/>
      </w:r>
      <w:r w:rsidR="00AB6225">
        <w:rPr>
          <w:rFonts w:cstheme="minorHAnsi"/>
        </w:rPr>
        <w:t xml:space="preserve"> and financial reserves</w:t>
      </w:r>
      <w:r w:rsidRPr="0063758B">
        <w:rPr>
          <w:rFonts w:cstheme="minorHAnsi"/>
        </w:rPr>
        <w:t>, a Slice/Block to Load Following switch provides additional secondary energy to BPA’s Trading Floor and is included in the forecast secondary sales revenues included in the Non-Slice customer charge. Examining this impact alone results in no change to the Non-Slice customer rate because the secondary energy credit included in the Non-Slice cost pool (numerator) would increase proportional to the increased non-Slice load obligation (denominator).</w:t>
      </w:r>
      <w:r w:rsidR="008A162C">
        <w:rPr>
          <w:rFonts w:cstheme="minorHAnsi"/>
        </w:rPr>
        <w:t xml:space="preserve">  </w:t>
      </w:r>
    </w:p>
    <w:p w14:paraId="7110F437" w14:textId="7604AA6A" w:rsidR="00EA4FF7" w:rsidRPr="00896F54" w:rsidRDefault="008A162C" w:rsidP="00562CB3">
      <w:pPr>
        <w:spacing w:line="30" w:lineRule="atLeast"/>
        <w:rPr>
          <w:rFonts w:cstheme="minorHAnsi"/>
        </w:rPr>
      </w:pPr>
      <w:r w:rsidRPr="00896F54">
        <w:rPr>
          <w:rFonts w:cstheme="minorHAnsi"/>
        </w:rPr>
        <w:t xml:space="preserve">The timing complication associated with financial reserves arises from the risk adjustment mechanisms in BPA’s Power rate schedules and general rate schedule provisions.  The three risk adjustments are the Cost Recovery Adjustment Clause (CRAC), Reserves Distribution Clause (RDC), and Financial Reserves Policy Surcharge (FRP Surcharge.)  Each of the risk adjustments is triggered within a fiscal year based on the previous fiscal years end of year financial reserves.  If any of the risk adjustments are trigged by the </w:t>
      </w:r>
      <w:r w:rsidR="00EA4FF7" w:rsidRPr="00896F54">
        <w:rPr>
          <w:rFonts w:cstheme="minorHAnsi"/>
        </w:rPr>
        <w:t>EOY financial reserve levels, then any a</w:t>
      </w:r>
      <w:r w:rsidR="00896F54">
        <w:rPr>
          <w:rFonts w:cstheme="minorHAnsi"/>
        </w:rPr>
        <w:t>pplicable</w:t>
      </w:r>
      <w:r w:rsidR="00EA4FF7" w:rsidRPr="00896F54">
        <w:rPr>
          <w:rFonts w:cstheme="minorHAnsi"/>
        </w:rPr>
        <w:t xml:space="preserve"> charges (CRAC, FRP Surcharge) or credits (RDC) are applied to customers’ power bills based on their </w:t>
      </w:r>
      <w:r w:rsidR="00E70F5A" w:rsidRPr="00896F54">
        <w:rPr>
          <w:rFonts w:cstheme="minorHAnsi"/>
        </w:rPr>
        <w:t>N</w:t>
      </w:r>
      <w:r w:rsidR="00EA4FF7" w:rsidRPr="00896F54">
        <w:rPr>
          <w:rFonts w:cstheme="minorHAnsi"/>
        </w:rPr>
        <w:t>on-</w:t>
      </w:r>
      <w:r w:rsidR="00E70F5A" w:rsidRPr="00896F54">
        <w:rPr>
          <w:rFonts w:cstheme="minorHAnsi"/>
        </w:rPr>
        <w:t>S</w:t>
      </w:r>
      <w:r w:rsidR="00EA4FF7" w:rsidRPr="00896F54">
        <w:rPr>
          <w:rFonts w:cstheme="minorHAnsi"/>
        </w:rPr>
        <w:t xml:space="preserve">lice loads within the current fiscal year.  For example, if an RDC triggered within FY 2024 it would be based on FY 2023 EOY financial reserves and would be distributed to customers using their FY 2024 </w:t>
      </w:r>
      <w:r w:rsidR="00E70F5A" w:rsidRPr="00896F54">
        <w:rPr>
          <w:rFonts w:cstheme="minorHAnsi"/>
        </w:rPr>
        <w:t>N</w:t>
      </w:r>
      <w:r w:rsidR="00EA4FF7" w:rsidRPr="00896F54">
        <w:rPr>
          <w:rFonts w:cstheme="minorHAnsi"/>
        </w:rPr>
        <w:t>on-</w:t>
      </w:r>
      <w:r w:rsidR="00E70F5A" w:rsidRPr="00896F54">
        <w:rPr>
          <w:rFonts w:cstheme="minorHAnsi"/>
        </w:rPr>
        <w:t>S</w:t>
      </w:r>
      <w:r w:rsidR="00EA4FF7" w:rsidRPr="00896F54">
        <w:rPr>
          <w:rFonts w:cstheme="minorHAnsi"/>
        </w:rPr>
        <w:t xml:space="preserve">lice loads.  </w:t>
      </w:r>
    </w:p>
    <w:p w14:paraId="121DD02C" w14:textId="595A1667" w:rsidR="008A162C" w:rsidRPr="0063758B" w:rsidRDefault="00EA4FF7" w:rsidP="00562CB3">
      <w:pPr>
        <w:spacing w:line="30" w:lineRule="atLeast"/>
        <w:rPr>
          <w:rFonts w:cstheme="minorHAnsi"/>
        </w:rPr>
      </w:pPr>
      <w:r w:rsidRPr="00896F54">
        <w:rPr>
          <w:rFonts w:cstheme="minorHAnsi"/>
        </w:rPr>
        <w:t xml:space="preserve">If BPA </w:t>
      </w:r>
      <w:r w:rsidR="00165320">
        <w:rPr>
          <w:rFonts w:cstheme="minorHAnsi"/>
        </w:rPr>
        <w:t>allows</w:t>
      </w:r>
      <w:r w:rsidRPr="00896F54">
        <w:rPr>
          <w:rFonts w:cstheme="minorHAnsi"/>
        </w:rPr>
        <w:t xml:space="preserve"> the </w:t>
      </w:r>
      <w:r w:rsidR="000E76FB">
        <w:rPr>
          <w:rFonts w:cstheme="minorHAnsi"/>
        </w:rPr>
        <w:t>three</w:t>
      </w:r>
      <w:r w:rsidR="000E76FB" w:rsidRPr="00896F54">
        <w:rPr>
          <w:rFonts w:cstheme="minorHAnsi"/>
        </w:rPr>
        <w:t xml:space="preserve"> </w:t>
      </w:r>
      <w:r w:rsidRPr="00896F54">
        <w:rPr>
          <w:rFonts w:cstheme="minorHAnsi"/>
        </w:rPr>
        <w:t xml:space="preserve">customers </w:t>
      </w:r>
      <w:r w:rsidR="00E70F5A" w:rsidRPr="00896F54">
        <w:rPr>
          <w:rFonts w:cstheme="minorHAnsi"/>
        </w:rPr>
        <w:t xml:space="preserve">to </w:t>
      </w:r>
      <w:r w:rsidRPr="00896F54">
        <w:rPr>
          <w:rFonts w:cstheme="minorHAnsi"/>
        </w:rPr>
        <w:t>switch from the Slice/Block product to the Load Following product, it seems reasonable that staff would propose in the BP-2</w:t>
      </w:r>
      <w:r w:rsidR="000E76FB">
        <w:rPr>
          <w:rFonts w:cstheme="minorHAnsi"/>
        </w:rPr>
        <w:t>6</w:t>
      </w:r>
      <w:r w:rsidRPr="00896F54">
        <w:rPr>
          <w:rFonts w:cstheme="minorHAnsi"/>
        </w:rPr>
        <w:t xml:space="preserve"> rate</w:t>
      </w:r>
      <w:r w:rsidR="00E70F5A" w:rsidRPr="00896F54">
        <w:rPr>
          <w:rFonts w:cstheme="minorHAnsi"/>
        </w:rPr>
        <w:t xml:space="preserve"> case</w:t>
      </w:r>
      <w:r w:rsidRPr="00896F54">
        <w:rPr>
          <w:rFonts w:cstheme="minorHAnsi"/>
        </w:rPr>
        <w:t xml:space="preserve"> to modify the FY 202</w:t>
      </w:r>
      <w:r w:rsidR="000E76FB">
        <w:rPr>
          <w:rFonts w:cstheme="minorHAnsi"/>
        </w:rPr>
        <w:t>6</w:t>
      </w:r>
      <w:r w:rsidRPr="00896F54">
        <w:rPr>
          <w:rFonts w:cstheme="minorHAnsi"/>
        </w:rPr>
        <w:t xml:space="preserve"> risk adjustment mechanisms to carve out that portion of load that was served with Slice in FY 202</w:t>
      </w:r>
      <w:r w:rsidR="000E76FB">
        <w:rPr>
          <w:rFonts w:cstheme="minorHAnsi"/>
        </w:rPr>
        <w:t>5</w:t>
      </w:r>
      <w:r w:rsidRPr="00896F54">
        <w:rPr>
          <w:rFonts w:cstheme="minorHAnsi"/>
        </w:rPr>
        <w:t xml:space="preserve"> to not be subject to a risk mechanism as a </w:t>
      </w:r>
      <w:proofErr w:type="gramStart"/>
      <w:r w:rsidR="00E70F5A" w:rsidRPr="00896F54">
        <w:rPr>
          <w:rFonts w:cstheme="minorHAnsi"/>
        </w:rPr>
        <w:t>N</w:t>
      </w:r>
      <w:r w:rsidRPr="00896F54">
        <w:rPr>
          <w:rFonts w:cstheme="minorHAnsi"/>
        </w:rPr>
        <w:t>on-</w:t>
      </w:r>
      <w:r w:rsidR="00E70F5A" w:rsidRPr="00896F54">
        <w:rPr>
          <w:rFonts w:cstheme="minorHAnsi"/>
        </w:rPr>
        <w:t>S</w:t>
      </w:r>
      <w:r w:rsidRPr="00896F54">
        <w:rPr>
          <w:rFonts w:cstheme="minorHAnsi"/>
        </w:rPr>
        <w:t>lice</w:t>
      </w:r>
      <w:proofErr w:type="gramEnd"/>
      <w:r w:rsidRPr="00896F54">
        <w:rPr>
          <w:rFonts w:cstheme="minorHAnsi"/>
        </w:rPr>
        <w:t xml:space="preserve"> load in FY 202</w:t>
      </w:r>
      <w:r w:rsidR="000E76FB">
        <w:rPr>
          <w:rFonts w:cstheme="minorHAnsi"/>
        </w:rPr>
        <w:t>6</w:t>
      </w:r>
      <w:r w:rsidRPr="00896F54">
        <w:rPr>
          <w:rFonts w:cstheme="minorHAnsi"/>
        </w:rPr>
        <w:t>.  As a Slice customer the customer would have already experienced any financial impacts due to secondary sales based on its use of its Slice product within FY 202</w:t>
      </w:r>
      <w:r w:rsidR="000E76FB">
        <w:rPr>
          <w:rFonts w:cstheme="minorHAnsi"/>
        </w:rPr>
        <w:t>5</w:t>
      </w:r>
      <w:r w:rsidRPr="00896F54">
        <w:rPr>
          <w:rFonts w:cstheme="minorHAnsi"/>
        </w:rPr>
        <w:t xml:space="preserve"> and the customer would</w:t>
      </w:r>
      <w:r w:rsidR="00E70F5A" w:rsidRPr="00896F54">
        <w:rPr>
          <w:rFonts w:cstheme="minorHAnsi"/>
        </w:rPr>
        <w:t xml:space="preserve"> also be</w:t>
      </w:r>
      <w:r w:rsidRPr="00896F54">
        <w:rPr>
          <w:rFonts w:cstheme="minorHAnsi"/>
        </w:rPr>
        <w:t xml:space="preserve"> subject to the FY 202</w:t>
      </w:r>
      <w:r w:rsidR="000E76FB">
        <w:rPr>
          <w:rFonts w:cstheme="minorHAnsi"/>
        </w:rPr>
        <w:t>5</w:t>
      </w:r>
      <w:r w:rsidRPr="00896F54">
        <w:rPr>
          <w:rFonts w:cstheme="minorHAnsi"/>
        </w:rPr>
        <w:t xml:space="preserve"> Slice True-Up for all composite cost pool expenses and revenues.  </w:t>
      </w:r>
      <w:r w:rsidR="00E70F5A" w:rsidRPr="00896F54">
        <w:rPr>
          <w:rFonts w:cstheme="minorHAnsi"/>
        </w:rPr>
        <w:t>Modifying the risk mechanisms for FY 202</w:t>
      </w:r>
      <w:r w:rsidR="00F93200">
        <w:rPr>
          <w:rFonts w:cstheme="minorHAnsi"/>
        </w:rPr>
        <w:t>6</w:t>
      </w:r>
      <w:r w:rsidR="00E70F5A" w:rsidRPr="00896F54">
        <w:rPr>
          <w:rFonts w:cstheme="minorHAnsi"/>
        </w:rPr>
        <w:t xml:space="preserve"> ensures the </w:t>
      </w:r>
      <w:r w:rsidR="00462AE3">
        <w:rPr>
          <w:rFonts w:cstheme="minorHAnsi"/>
        </w:rPr>
        <w:t xml:space="preserve">product switching </w:t>
      </w:r>
      <w:r w:rsidR="00E70F5A" w:rsidRPr="00896F54">
        <w:rPr>
          <w:rFonts w:cstheme="minorHAnsi"/>
        </w:rPr>
        <w:t>customers are not exposed to the same risk twice for their portion of load that was served by Slice.</w:t>
      </w:r>
      <w:r w:rsidR="00E70F5A">
        <w:rPr>
          <w:rFonts w:cstheme="minorHAnsi"/>
        </w:rPr>
        <w:t xml:space="preserve"> </w:t>
      </w:r>
    </w:p>
    <w:p w14:paraId="7176C076" w14:textId="1854969C" w:rsidR="0063758B" w:rsidRPr="0063758B" w:rsidRDefault="0063758B" w:rsidP="00562CB3">
      <w:pPr>
        <w:spacing w:line="30" w:lineRule="atLeast"/>
        <w:rPr>
          <w:rFonts w:cstheme="minorHAnsi"/>
        </w:rPr>
      </w:pPr>
      <w:r w:rsidRPr="0063758B">
        <w:rPr>
          <w:rFonts w:cstheme="minorHAnsi"/>
        </w:rPr>
        <w:t>With regard to the second factor</w:t>
      </w:r>
      <w:r w:rsidR="00EA4FF7">
        <w:rPr>
          <w:rFonts w:cstheme="minorHAnsi"/>
        </w:rPr>
        <w:t xml:space="preserve"> (the impact to BPA’s balancing energy costs)</w:t>
      </w:r>
      <w:r w:rsidRPr="0063758B">
        <w:rPr>
          <w:rFonts w:cstheme="minorHAnsi"/>
        </w:rPr>
        <w:t>, BPA’s Load Shaping charges account for energy load shape differences among customers. If a customer’s switch from Slice/Block to Load Following impacts the shape of the energy purchased from BPA, that customer would pay, or be credited, market-based rates for any deviation in that load shape from the shape of BPA’s system. This increase or decrease in Load Shaping charges effectively accounts and compensates BPA (and thereby other customers) for resulting changes to BPA’s balancing energy costs.</w:t>
      </w:r>
    </w:p>
    <w:p w14:paraId="008B8C93" w14:textId="2A12100B" w:rsidR="0063758B" w:rsidRPr="0063758B" w:rsidRDefault="0063758B" w:rsidP="00562CB3">
      <w:pPr>
        <w:spacing w:line="30" w:lineRule="atLeast"/>
        <w:rPr>
          <w:rFonts w:cstheme="minorHAnsi"/>
        </w:rPr>
      </w:pPr>
      <w:r w:rsidRPr="0063758B">
        <w:rPr>
          <w:rFonts w:cstheme="minorHAnsi"/>
        </w:rPr>
        <w:t>Lastly, the third factor, capacity (demand) must be considered – both use of and impact on BPA’s demand charge revenue collection. Additional evaluation is needed for customers converting to Load Following because the product switch will impact both BPA’s capacity obligation and demand charge revenue collection.  If the use of Federal capacity and the corresponding demand charge revenue collection is roughly proportional to BPA’s other non-Slice customers, then the product switch is determined to be without undue cost shift to other customers. In other words, if a customer is using capacity, that customer should pay its fair share for the use of that capacity relative to other customers that also use and pay for capacity. Some variances are expected.  For example, a customer may have high or low Contract Demand Quantities based upon historical load shapes which impact that customer’s forecast demand charge revenue collection. The methodology used to test capacity equity is described below</w:t>
      </w:r>
      <w:r w:rsidR="007D74BC">
        <w:rPr>
          <w:rFonts w:cstheme="minorHAnsi"/>
        </w:rPr>
        <w:t>.</w:t>
      </w:r>
    </w:p>
    <w:p w14:paraId="049C8101" w14:textId="179D5926" w:rsidR="0063758B" w:rsidRPr="0063758B" w:rsidRDefault="0063758B" w:rsidP="00562CB3">
      <w:pPr>
        <w:keepNext/>
        <w:spacing w:line="30" w:lineRule="atLeast"/>
        <w:rPr>
          <w:rFonts w:cstheme="minorHAnsi"/>
          <w:b/>
        </w:rPr>
      </w:pPr>
      <w:r w:rsidRPr="0063758B">
        <w:rPr>
          <w:rFonts w:cstheme="minorHAnsi"/>
          <w:b/>
        </w:rPr>
        <w:lastRenderedPageBreak/>
        <w:t>Methodology</w:t>
      </w:r>
      <w:r w:rsidR="00562CB3">
        <w:rPr>
          <w:rFonts w:cstheme="minorHAnsi"/>
          <w:b/>
        </w:rPr>
        <w:t xml:space="preserve"> and Assumptions</w:t>
      </w:r>
    </w:p>
    <w:p w14:paraId="030DAD2E" w14:textId="7B212D15" w:rsidR="0063758B" w:rsidRPr="0063758B" w:rsidRDefault="0063758B" w:rsidP="00562CB3">
      <w:pPr>
        <w:spacing w:line="30" w:lineRule="atLeast"/>
        <w:rPr>
          <w:rFonts w:cstheme="minorHAnsi"/>
        </w:rPr>
      </w:pPr>
      <w:r w:rsidRPr="0063758B">
        <w:rPr>
          <w:rFonts w:cstheme="minorHAnsi"/>
        </w:rPr>
        <w:t>To assess the reasonableness of demand revenue collection post-product switch, BPA compared each product-switching customer to other customers currently taking the load following product, with similar load factors</w:t>
      </w:r>
      <w:r w:rsidR="006A3C6B">
        <w:rPr>
          <w:rFonts w:cstheme="minorHAnsi"/>
        </w:rPr>
        <w:t xml:space="preserve"> using customer data from the BP-2</w:t>
      </w:r>
      <w:r w:rsidR="000E76FB">
        <w:rPr>
          <w:rFonts w:cstheme="minorHAnsi"/>
        </w:rPr>
        <w:t>4</w:t>
      </w:r>
      <w:r w:rsidR="006A3C6B">
        <w:rPr>
          <w:rFonts w:cstheme="minorHAnsi"/>
        </w:rPr>
        <w:t xml:space="preserve"> Final Studies</w:t>
      </w:r>
      <w:r w:rsidRPr="0063758B">
        <w:rPr>
          <w:rFonts w:cstheme="minorHAnsi"/>
        </w:rPr>
        <w:t xml:space="preserve">.  A distribution of customers by load factor (averaged across all months) among current Load Following customers was developed.  The imputed load factor on BPA of each customer </w:t>
      </w:r>
      <w:r w:rsidR="002E473F">
        <w:rPr>
          <w:rFonts w:cstheme="minorHAnsi"/>
        </w:rPr>
        <w:t>requesting</w:t>
      </w:r>
      <w:r w:rsidR="002E473F" w:rsidRPr="0063758B">
        <w:rPr>
          <w:rFonts w:cstheme="minorHAnsi"/>
        </w:rPr>
        <w:t xml:space="preserve"> </w:t>
      </w:r>
      <w:r w:rsidRPr="0063758B">
        <w:rPr>
          <w:rFonts w:cstheme="minorHAnsi"/>
        </w:rPr>
        <w:t>the product switch was then computed (also averaged across all months).  For each customer, 20 customers were selected from the distribution of Load Following customers that were closest to the imputed load factor of each product-switching customer.  These represent the</w:t>
      </w:r>
      <w:r w:rsidR="007D74BC">
        <w:rPr>
          <w:rFonts w:cstheme="minorHAnsi"/>
        </w:rPr>
        <w:t xml:space="preserve"> </w:t>
      </w:r>
      <w:r w:rsidR="000E76FB">
        <w:rPr>
          <w:rFonts w:cstheme="minorHAnsi"/>
        </w:rPr>
        <w:t>three</w:t>
      </w:r>
      <w:r w:rsidRPr="0063758B">
        <w:rPr>
          <w:rFonts w:cstheme="minorHAnsi"/>
        </w:rPr>
        <w:t xml:space="preserve"> “cohorts” of customers with similar load factors </w:t>
      </w:r>
      <w:r w:rsidR="002E473F">
        <w:rPr>
          <w:rFonts w:cstheme="minorHAnsi"/>
        </w:rPr>
        <w:t xml:space="preserve">relative </w:t>
      </w:r>
      <w:r w:rsidRPr="0063758B">
        <w:rPr>
          <w:rFonts w:cstheme="minorHAnsi"/>
        </w:rPr>
        <w:t>to each product-switching customer.  Then each of the product-switch</w:t>
      </w:r>
      <w:r w:rsidR="002E473F">
        <w:rPr>
          <w:rFonts w:cstheme="minorHAnsi"/>
        </w:rPr>
        <w:t>ing</w:t>
      </w:r>
      <w:r w:rsidR="000E76FB">
        <w:rPr>
          <w:rFonts w:cstheme="minorHAnsi"/>
        </w:rPr>
        <w:t xml:space="preserve"> </w:t>
      </w:r>
      <w:r w:rsidRPr="0063758B">
        <w:rPr>
          <w:rFonts w:cstheme="minorHAnsi"/>
        </w:rPr>
        <w:t xml:space="preserve">customers’ anticipated demand </w:t>
      </w:r>
      <w:r w:rsidR="00853474">
        <w:rPr>
          <w:rFonts w:cstheme="minorHAnsi"/>
        </w:rPr>
        <w:t>charge</w:t>
      </w:r>
      <w:r w:rsidRPr="0063758B">
        <w:rPr>
          <w:rFonts w:cstheme="minorHAnsi"/>
        </w:rPr>
        <w:t xml:space="preserve"> </w:t>
      </w:r>
      <w:r w:rsidR="00853474">
        <w:rPr>
          <w:rFonts w:cstheme="minorHAnsi"/>
        </w:rPr>
        <w:t>effective rates</w:t>
      </w:r>
      <w:r w:rsidRPr="0063758B">
        <w:rPr>
          <w:rFonts w:cstheme="minorHAnsi"/>
        </w:rPr>
        <w:t xml:space="preserve">, in $/MWh, was compared to the average demand rate </w:t>
      </w:r>
      <w:r w:rsidR="00853474">
        <w:rPr>
          <w:rFonts w:cstheme="minorHAnsi"/>
        </w:rPr>
        <w:t>effective rates</w:t>
      </w:r>
      <w:r w:rsidRPr="0063758B">
        <w:rPr>
          <w:rFonts w:cstheme="minorHAnsi"/>
        </w:rPr>
        <w:t xml:space="preserve"> for each customers’ applicable cohort.</w:t>
      </w:r>
      <w:r w:rsidRPr="0063758B">
        <w:rPr>
          <w:rStyle w:val="FootnoteReference"/>
          <w:rFonts w:cstheme="minorHAnsi"/>
        </w:rPr>
        <w:footnoteReference w:id="3"/>
      </w:r>
      <w:r w:rsidRPr="0063758B">
        <w:rPr>
          <w:rFonts w:cstheme="minorHAnsi"/>
        </w:rPr>
        <w:t xml:space="preserve"> </w:t>
      </w:r>
    </w:p>
    <w:p w14:paraId="693C88F2" w14:textId="77777777" w:rsidR="0063758B" w:rsidRPr="0063758B" w:rsidRDefault="0063758B" w:rsidP="00562CB3">
      <w:pPr>
        <w:keepNext/>
        <w:spacing w:line="30" w:lineRule="atLeast"/>
        <w:rPr>
          <w:rFonts w:cstheme="minorHAnsi"/>
          <w:b/>
        </w:rPr>
      </w:pPr>
      <w:r w:rsidRPr="0063758B">
        <w:rPr>
          <w:rFonts w:cstheme="minorHAnsi"/>
          <w:b/>
        </w:rPr>
        <w:t>Results</w:t>
      </w:r>
    </w:p>
    <w:p w14:paraId="557B7DA4" w14:textId="59415280" w:rsidR="000D2DAE" w:rsidRDefault="007D74BC" w:rsidP="00B9141F">
      <w:pPr>
        <w:keepNext/>
        <w:spacing w:line="30" w:lineRule="atLeast"/>
        <w:rPr>
          <w:rFonts w:cstheme="minorHAnsi"/>
        </w:rPr>
      </w:pPr>
      <w:r>
        <w:rPr>
          <w:rFonts w:cstheme="minorHAnsi"/>
        </w:rPr>
        <w:t xml:space="preserve">On average </w:t>
      </w:r>
      <w:r w:rsidR="006A3C6B">
        <w:rPr>
          <w:rFonts w:cstheme="minorHAnsi"/>
        </w:rPr>
        <w:t>using BP-2</w:t>
      </w:r>
      <w:r w:rsidR="000E76FB">
        <w:rPr>
          <w:rFonts w:cstheme="minorHAnsi"/>
        </w:rPr>
        <w:t>4</w:t>
      </w:r>
      <w:r w:rsidR="006A3C6B">
        <w:rPr>
          <w:rFonts w:cstheme="minorHAnsi"/>
        </w:rPr>
        <w:t xml:space="preserve"> rates, </w:t>
      </w:r>
      <w:r>
        <w:rPr>
          <w:rFonts w:cstheme="minorHAnsi"/>
        </w:rPr>
        <w:t>a Load Foll</w:t>
      </w:r>
      <w:r w:rsidR="00853474">
        <w:rPr>
          <w:rFonts w:cstheme="minorHAnsi"/>
        </w:rPr>
        <w:t>owing customer pays $</w:t>
      </w:r>
      <w:r w:rsidR="00AA3837">
        <w:rPr>
          <w:rFonts w:cstheme="minorHAnsi"/>
        </w:rPr>
        <w:t>1.96</w:t>
      </w:r>
      <w:r w:rsidR="00853474">
        <w:rPr>
          <w:rFonts w:cstheme="minorHAnsi"/>
        </w:rPr>
        <w:t xml:space="preserve">/MWh </w:t>
      </w:r>
      <w:r w:rsidR="00CA0F17">
        <w:rPr>
          <w:rFonts w:cstheme="minorHAnsi"/>
        </w:rPr>
        <w:t>through</w:t>
      </w:r>
      <w:r w:rsidR="00853474">
        <w:rPr>
          <w:rFonts w:cstheme="minorHAnsi"/>
        </w:rPr>
        <w:t xml:space="preserve"> the demand cha</w:t>
      </w:r>
      <w:r w:rsidR="00D85E85">
        <w:rPr>
          <w:rFonts w:cstheme="minorHAnsi"/>
        </w:rPr>
        <w:t>r</w:t>
      </w:r>
      <w:r w:rsidR="00853474">
        <w:rPr>
          <w:rFonts w:cstheme="minorHAnsi"/>
        </w:rPr>
        <w:t xml:space="preserve">ge, with an average load factor of about </w:t>
      </w:r>
      <w:r w:rsidR="00AA3837">
        <w:rPr>
          <w:rFonts w:cstheme="minorHAnsi"/>
        </w:rPr>
        <w:t>74</w:t>
      </w:r>
      <w:r w:rsidR="00853474">
        <w:rPr>
          <w:rFonts w:cstheme="minorHAnsi"/>
        </w:rPr>
        <w:t>%.</w:t>
      </w:r>
      <w:r w:rsidR="00C0142E">
        <w:rPr>
          <w:rFonts w:cstheme="minorHAnsi"/>
        </w:rPr>
        <w:t xml:space="preserve">  </w:t>
      </w:r>
      <w:r w:rsidR="007B3594">
        <w:rPr>
          <w:rFonts w:cstheme="minorHAnsi"/>
        </w:rPr>
        <w:t xml:space="preserve">One </w:t>
      </w:r>
      <w:r w:rsidR="00C0142E">
        <w:rPr>
          <w:rFonts w:cstheme="minorHAnsi"/>
        </w:rPr>
        <w:t xml:space="preserve">product-switch </w:t>
      </w:r>
      <w:r w:rsidR="00853474">
        <w:rPr>
          <w:rFonts w:cstheme="minorHAnsi"/>
        </w:rPr>
        <w:t>customer</w:t>
      </w:r>
      <w:r w:rsidR="00D70403">
        <w:rPr>
          <w:rFonts w:cstheme="minorHAnsi"/>
        </w:rPr>
        <w:t>,</w:t>
      </w:r>
      <w:r w:rsidR="00853474">
        <w:rPr>
          <w:rFonts w:cstheme="minorHAnsi"/>
        </w:rPr>
        <w:t xml:space="preserve"> </w:t>
      </w:r>
      <w:r w:rsidR="007B3594">
        <w:rPr>
          <w:rFonts w:cstheme="minorHAnsi"/>
        </w:rPr>
        <w:t>Snohomish PUD</w:t>
      </w:r>
      <w:r w:rsidR="00D70403">
        <w:rPr>
          <w:rFonts w:cstheme="minorHAnsi"/>
        </w:rPr>
        <w:t xml:space="preserve">, </w:t>
      </w:r>
      <w:r w:rsidR="00853474">
        <w:rPr>
          <w:rFonts w:cstheme="minorHAnsi"/>
        </w:rPr>
        <w:t>ha</w:t>
      </w:r>
      <w:r w:rsidR="007B3594">
        <w:rPr>
          <w:rFonts w:cstheme="minorHAnsi"/>
        </w:rPr>
        <w:t>s</w:t>
      </w:r>
      <w:r w:rsidR="00853474">
        <w:rPr>
          <w:rFonts w:cstheme="minorHAnsi"/>
        </w:rPr>
        <w:t xml:space="preserve"> </w:t>
      </w:r>
      <w:r w:rsidR="00AA3837">
        <w:rPr>
          <w:rFonts w:cstheme="minorHAnsi"/>
        </w:rPr>
        <w:t xml:space="preserve">a </w:t>
      </w:r>
      <w:r w:rsidR="00853474">
        <w:rPr>
          <w:rFonts w:cstheme="minorHAnsi"/>
        </w:rPr>
        <w:t>demand charge effective rate below $</w:t>
      </w:r>
      <w:r w:rsidR="00AA3837">
        <w:rPr>
          <w:rFonts w:cstheme="minorHAnsi"/>
        </w:rPr>
        <w:t>1.96</w:t>
      </w:r>
      <w:r w:rsidR="00853474">
        <w:rPr>
          <w:rFonts w:cstheme="minorHAnsi"/>
        </w:rPr>
        <w:t xml:space="preserve">/MWh </w:t>
      </w:r>
      <w:r w:rsidR="00A8698F">
        <w:rPr>
          <w:rFonts w:cstheme="minorHAnsi"/>
        </w:rPr>
        <w:t xml:space="preserve">but </w:t>
      </w:r>
      <w:r w:rsidR="00AA3837">
        <w:rPr>
          <w:rFonts w:cstheme="minorHAnsi"/>
        </w:rPr>
        <w:t xml:space="preserve">above </w:t>
      </w:r>
      <w:r w:rsidR="00853474">
        <w:rPr>
          <w:rFonts w:cstheme="minorHAnsi"/>
        </w:rPr>
        <w:t xml:space="preserve">their respective cohorts’ demand charge effective rate.  </w:t>
      </w:r>
      <w:r w:rsidR="00AA3837">
        <w:rPr>
          <w:rFonts w:cstheme="minorHAnsi"/>
        </w:rPr>
        <w:t>This</w:t>
      </w:r>
      <w:r w:rsidR="007B3594">
        <w:rPr>
          <w:rFonts w:cstheme="minorHAnsi"/>
        </w:rPr>
        <w:t xml:space="preserve"> </w:t>
      </w:r>
      <w:r w:rsidR="00507E45">
        <w:rPr>
          <w:rFonts w:cstheme="minorHAnsi"/>
        </w:rPr>
        <w:t xml:space="preserve">customer </w:t>
      </w:r>
      <w:r w:rsidR="007B3594">
        <w:rPr>
          <w:rFonts w:cstheme="minorHAnsi"/>
        </w:rPr>
        <w:t xml:space="preserve">is </w:t>
      </w:r>
      <w:r w:rsidR="00507E45">
        <w:rPr>
          <w:rFonts w:cstheme="minorHAnsi"/>
        </w:rPr>
        <w:t xml:space="preserve">within </w:t>
      </w:r>
      <w:r w:rsidR="00AA3837">
        <w:rPr>
          <w:rFonts w:cstheme="minorHAnsi"/>
        </w:rPr>
        <w:t>a reasonable</w:t>
      </w:r>
      <w:r w:rsidR="00F67866">
        <w:rPr>
          <w:rFonts w:cstheme="minorHAnsi"/>
        </w:rPr>
        <w:t xml:space="preserve"> </w:t>
      </w:r>
      <w:r w:rsidR="00507E45">
        <w:rPr>
          <w:rFonts w:cstheme="minorHAnsi"/>
        </w:rPr>
        <w:t>range of their</w:t>
      </w:r>
      <w:r w:rsidR="00D70403">
        <w:rPr>
          <w:rFonts w:cstheme="minorHAnsi"/>
        </w:rPr>
        <w:t xml:space="preserve"> respective cohorts’ demand charge effective rates. </w:t>
      </w:r>
      <w:r w:rsidR="00165320">
        <w:rPr>
          <w:rFonts w:cstheme="minorHAnsi"/>
        </w:rPr>
        <w:t xml:space="preserve"> </w:t>
      </w:r>
      <w:r w:rsidR="001D299D">
        <w:rPr>
          <w:rFonts w:cstheme="minorHAnsi"/>
        </w:rPr>
        <w:t>T</w:t>
      </w:r>
      <w:r w:rsidR="00853474">
        <w:rPr>
          <w:rFonts w:cstheme="minorHAnsi"/>
        </w:rPr>
        <w:t xml:space="preserve">he remaining </w:t>
      </w:r>
      <w:r w:rsidR="007B3594">
        <w:rPr>
          <w:rFonts w:cstheme="minorHAnsi"/>
        </w:rPr>
        <w:t>two</w:t>
      </w:r>
      <w:r w:rsidR="00562CB3">
        <w:rPr>
          <w:rFonts w:cstheme="minorHAnsi"/>
        </w:rPr>
        <w:t xml:space="preserve"> customers</w:t>
      </w:r>
      <w:r w:rsidR="0063758B" w:rsidRPr="0063758B">
        <w:rPr>
          <w:rFonts w:cstheme="minorHAnsi"/>
        </w:rPr>
        <w:t xml:space="preserve"> are </w:t>
      </w:r>
      <w:r w:rsidR="00AA3837">
        <w:rPr>
          <w:rFonts w:cstheme="minorHAnsi"/>
        </w:rPr>
        <w:t xml:space="preserve">also </w:t>
      </w:r>
      <w:r w:rsidR="0063758B" w:rsidRPr="0063758B">
        <w:rPr>
          <w:rFonts w:cstheme="minorHAnsi"/>
        </w:rPr>
        <w:t xml:space="preserve">expected to produce demand revenues that exceed the average of each respective cohort. </w:t>
      </w:r>
      <w:r w:rsidR="00D85E85">
        <w:rPr>
          <w:rFonts w:cstheme="minorHAnsi"/>
        </w:rPr>
        <w:t>Finally,</w:t>
      </w:r>
      <w:r w:rsidR="006A3C6B">
        <w:rPr>
          <w:rFonts w:cstheme="minorHAnsi"/>
        </w:rPr>
        <w:t xml:space="preserve"> the </w:t>
      </w:r>
      <w:r w:rsidR="00CA0F17">
        <w:rPr>
          <w:rFonts w:cstheme="minorHAnsi"/>
        </w:rPr>
        <w:t xml:space="preserve">aggregate </w:t>
      </w:r>
      <w:r w:rsidR="006A3C6B">
        <w:rPr>
          <w:rFonts w:cstheme="minorHAnsi"/>
        </w:rPr>
        <w:t xml:space="preserve">demand charge effective rate for </w:t>
      </w:r>
      <w:proofErr w:type="gramStart"/>
      <w:r w:rsidR="006A3C6B">
        <w:rPr>
          <w:rFonts w:cstheme="minorHAnsi"/>
        </w:rPr>
        <w:t xml:space="preserve">all </w:t>
      </w:r>
      <w:r w:rsidR="007B3594">
        <w:rPr>
          <w:rFonts w:cstheme="minorHAnsi"/>
        </w:rPr>
        <w:t xml:space="preserve"> three</w:t>
      </w:r>
      <w:proofErr w:type="gramEnd"/>
      <w:r w:rsidR="007B3594">
        <w:rPr>
          <w:rFonts w:cstheme="minorHAnsi"/>
        </w:rPr>
        <w:t xml:space="preserve"> </w:t>
      </w:r>
      <w:r w:rsidR="006A3C6B">
        <w:rPr>
          <w:rFonts w:cstheme="minorHAnsi"/>
        </w:rPr>
        <w:t>product switching customers is  $</w:t>
      </w:r>
      <w:r w:rsidR="00AA3837">
        <w:rPr>
          <w:rFonts w:cstheme="minorHAnsi"/>
        </w:rPr>
        <w:t>1.86</w:t>
      </w:r>
      <w:r w:rsidR="006A3C6B">
        <w:rPr>
          <w:rFonts w:cstheme="minorHAnsi"/>
        </w:rPr>
        <w:t>/MWh</w:t>
      </w:r>
      <w:r w:rsidR="00A50835">
        <w:rPr>
          <w:rFonts w:cstheme="minorHAnsi"/>
        </w:rPr>
        <w:t xml:space="preserve">, which is above </w:t>
      </w:r>
      <w:r w:rsidR="00A8698F">
        <w:rPr>
          <w:rFonts w:cstheme="minorHAnsi"/>
        </w:rPr>
        <w:t xml:space="preserve">the </w:t>
      </w:r>
      <w:r w:rsidR="006A3C6B">
        <w:rPr>
          <w:rFonts w:cstheme="minorHAnsi"/>
        </w:rPr>
        <w:t xml:space="preserve">respective cohort’s demand charge effective rate of </w:t>
      </w:r>
      <w:r w:rsidR="00CA0F17">
        <w:rPr>
          <w:rFonts w:cstheme="minorHAnsi"/>
        </w:rPr>
        <w:t>$</w:t>
      </w:r>
      <w:r w:rsidR="00A50835">
        <w:rPr>
          <w:rFonts w:cstheme="minorHAnsi"/>
        </w:rPr>
        <w:t>1.</w:t>
      </w:r>
      <w:r w:rsidR="00AA3837">
        <w:rPr>
          <w:rFonts w:cstheme="minorHAnsi"/>
        </w:rPr>
        <w:t>73</w:t>
      </w:r>
      <w:r w:rsidR="006A3C6B">
        <w:rPr>
          <w:rFonts w:cstheme="minorHAnsi"/>
        </w:rPr>
        <w:t xml:space="preserve">/MWh.  </w:t>
      </w:r>
      <w:r w:rsidR="0063758B" w:rsidRPr="0063758B">
        <w:rPr>
          <w:rFonts w:cstheme="minorHAnsi"/>
        </w:rPr>
        <w:t>Therefore, BPA believes there</w:t>
      </w:r>
      <w:r w:rsidR="006A3C6B">
        <w:rPr>
          <w:rFonts w:cstheme="minorHAnsi"/>
        </w:rPr>
        <w:t xml:space="preserve"> </w:t>
      </w:r>
      <w:r w:rsidR="00B9141F">
        <w:rPr>
          <w:rFonts w:cstheme="minorHAnsi"/>
        </w:rPr>
        <w:t xml:space="preserve">is not a significant </w:t>
      </w:r>
      <w:r w:rsidR="0063758B" w:rsidRPr="00D85E85">
        <w:rPr>
          <w:rFonts w:cstheme="minorHAnsi"/>
        </w:rPr>
        <w:t>capacity</w:t>
      </w:r>
      <w:r w:rsidR="0063758B" w:rsidRPr="0063758B">
        <w:rPr>
          <w:rFonts w:cstheme="minorHAnsi"/>
        </w:rPr>
        <w:t>-related cost shift to address</w:t>
      </w:r>
      <w:r w:rsidR="00B9141F">
        <w:rPr>
          <w:rFonts w:cstheme="minorHAnsi"/>
        </w:rPr>
        <w:t xml:space="preserve"> </w:t>
      </w:r>
      <w:r w:rsidR="00D07C96">
        <w:rPr>
          <w:rFonts w:cstheme="minorHAnsi"/>
        </w:rPr>
        <w:t>based on</w:t>
      </w:r>
      <w:r w:rsidR="00B9141F">
        <w:rPr>
          <w:rFonts w:cstheme="minorHAnsi"/>
        </w:rPr>
        <w:t xml:space="preserve"> product switching customers’ expected demand charges</w:t>
      </w:r>
      <w:r w:rsidR="0063758B" w:rsidRPr="0063758B">
        <w:rPr>
          <w:rFonts w:cstheme="minorHAnsi"/>
        </w:rPr>
        <w:t>.</w:t>
      </w:r>
    </w:p>
    <w:p w14:paraId="00373992" w14:textId="188E507E" w:rsidR="00AA3837" w:rsidRDefault="00E933C7" w:rsidP="00B9141F">
      <w:pPr>
        <w:keepNext/>
        <w:spacing w:line="30" w:lineRule="atLeast"/>
        <w:rPr>
          <w:rFonts w:cstheme="minorHAnsi"/>
        </w:rPr>
      </w:pPr>
      <w:r>
        <w:rPr>
          <w:noProof/>
        </w:rPr>
        <w:drawing>
          <wp:inline distT="0" distB="0" distL="0" distR="0" wp14:anchorId="26B2A7CC" wp14:editId="36B7580B">
            <wp:extent cx="6370721" cy="1349587"/>
            <wp:effectExtent l="0" t="0" r="0" b="3175"/>
            <wp:docPr id="24132855" name="Picture 1" descr="A diagram of a product swi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2855" name="Picture 1" descr="A diagram of a product switch&#10;&#10;Description automatically generated"/>
                    <pic:cNvPicPr/>
                  </pic:nvPicPr>
                  <pic:blipFill>
                    <a:blip r:embed="rId13"/>
                    <a:stretch>
                      <a:fillRect/>
                    </a:stretch>
                  </pic:blipFill>
                  <pic:spPr>
                    <a:xfrm>
                      <a:off x="0" y="0"/>
                      <a:ext cx="6386093" cy="1352844"/>
                    </a:xfrm>
                    <a:prstGeom prst="rect">
                      <a:avLst/>
                    </a:prstGeom>
                  </pic:spPr>
                </pic:pic>
              </a:graphicData>
            </a:graphic>
          </wp:inline>
        </w:drawing>
      </w:r>
    </w:p>
    <w:p w14:paraId="7515BAF9" w14:textId="7FD63C6F" w:rsidR="00E551F1" w:rsidRDefault="00E551F1" w:rsidP="00B9141F">
      <w:pPr>
        <w:keepNext/>
        <w:spacing w:line="30" w:lineRule="atLeast"/>
        <w:rPr>
          <w:rFonts w:cstheme="minorHAnsi"/>
        </w:rPr>
      </w:pPr>
    </w:p>
    <w:p w14:paraId="17E30333" w14:textId="2AE0B9EA" w:rsidR="00507E45" w:rsidRDefault="00507E45" w:rsidP="00562CB3">
      <w:pPr>
        <w:spacing w:line="30" w:lineRule="atLeast"/>
        <w:rPr>
          <w:rFonts w:cstheme="minorHAnsi"/>
        </w:rPr>
      </w:pPr>
    </w:p>
    <w:p w14:paraId="68087CE0" w14:textId="5405083A" w:rsidR="004145AE" w:rsidRPr="00B3426F" w:rsidRDefault="004145AE" w:rsidP="004145AE">
      <w:pPr>
        <w:keepNext/>
        <w:spacing w:line="30" w:lineRule="atLeast"/>
        <w:rPr>
          <w:rFonts w:cstheme="minorHAnsi"/>
          <w:b/>
        </w:rPr>
      </w:pPr>
      <w:r w:rsidRPr="00B3426F">
        <w:rPr>
          <w:rFonts w:cstheme="minorHAnsi"/>
          <w:b/>
        </w:rPr>
        <w:t>Net Capacity Cost Analysis</w:t>
      </w:r>
    </w:p>
    <w:p w14:paraId="6F5B7E8F" w14:textId="4AD64F1F" w:rsidR="001C10B1" w:rsidRDefault="004145AE" w:rsidP="00165320">
      <w:pPr>
        <w:keepNext/>
        <w:spacing w:line="30" w:lineRule="atLeast"/>
        <w:rPr>
          <w:rFonts w:cstheme="minorHAnsi"/>
        </w:rPr>
      </w:pPr>
      <w:r w:rsidRPr="00B3426F">
        <w:rPr>
          <w:rFonts w:cstheme="minorHAnsi"/>
        </w:rPr>
        <w:t>The cost to serve the change in BPA’s pea</w:t>
      </w:r>
      <w:r w:rsidR="00F458BD">
        <w:rPr>
          <w:rFonts w:cstheme="minorHAnsi"/>
        </w:rPr>
        <w:t xml:space="preserve">k load obligations due to the </w:t>
      </w:r>
      <w:r w:rsidR="00A50835">
        <w:rPr>
          <w:rFonts w:cstheme="minorHAnsi"/>
        </w:rPr>
        <w:t>three</w:t>
      </w:r>
      <w:r w:rsidR="00A50835" w:rsidRPr="00B3426F">
        <w:rPr>
          <w:rFonts w:cstheme="minorHAnsi"/>
        </w:rPr>
        <w:t xml:space="preserve"> </w:t>
      </w:r>
      <w:r w:rsidRPr="00B3426F">
        <w:rPr>
          <w:rFonts w:cstheme="minorHAnsi"/>
        </w:rPr>
        <w:t xml:space="preserve">customers switching products was compared to </w:t>
      </w:r>
      <w:r w:rsidR="00EE4182" w:rsidRPr="00B3426F">
        <w:rPr>
          <w:rFonts w:cstheme="minorHAnsi"/>
        </w:rPr>
        <w:t xml:space="preserve">the increased demand revenue these customers </w:t>
      </w:r>
      <w:r w:rsidR="002E473F">
        <w:rPr>
          <w:rFonts w:cstheme="minorHAnsi"/>
        </w:rPr>
        <w:t>would</w:t>
      </w:r>
      <w:r w:rsidR="002E473F" w:rsidRPr="00B3426F">
        <w:rPr>
          <w:rFonts w:cstheme="minorHAnsi"/>
        </w:rPr>
        <w:t xml:space="preserve"> </w:t>
      </w:r>
      <w:r w:rsidR="00EE4182" w:rsidRPr="00B3426F">
        <w:rPr>
          <w:rFonts w:cstheme="minorHAnsi"/>
        </w:rPr>
        <w:t>pay to BPA as Load Following customers.</w:t>
      </w:r>
      <w:r w:rsidR="00B3426F">
        <w:rPr>
          <w:rFonts w:cstheme="minorHAnsi"/>
        </w:rPr>
        <w:t xml:space="preserve">  The change in BPA’s peak load obligations was calculated as: (i) the sum of each product switching customers’ </w:t>
      </w:r>
      <w:r w:rsidR="00E10BB2">
        <w:rPr>
          <w:rFonts w:cstheme="minorHAnsi"/>
        </w:rPr>
        <w:t xml:space="preserve">forecast </w:t>
      </w:r>
      <w:r w:rsidR="00B3426F">
        <w:rPr>
          <w:rFonts w:cstheme="minorHAnsi"/>
        </w:rPr>
        <w:t>peak loads less</w:t>
      </w:r>
      <w:r w:rsidR="00B67BB3">
        <w:rPr>
          <w:rFonts w:cstheme="minorHAnsi"/>
        </w:rPr>
        <w:t xml:space="preserve"> its</w:t>
      </w:r>
      <w:r w:rsidR="00B3426F">
        <w:rPr>
          <w:rFonts w:cstheme="minorHAnsi"/>
        </w:rPr>
        <w:t xml:space="preserve"> dedicated resources; minus (ii)</w:t>
      </w:r>
      <w:r w:rsidR="00EE4182" w:rsidRPr="00B3426F">
        <w:rPr>
          <w:rFonts w:cstheme="minorHAnsi"/>
        </w:rPr>
        <w:t xml:space="preserve"> </w:t>
      </w:r>
      <w:r w:rsidR="00B3426F">
        <w:rPr>
          <w:rFonts w:cstheme="minorHAnsi"/>
        </w:rPr>
        <w:t>the sum of the</w:t>
      </w:r>
      <w:r w:rsidR="00B67BB3">
        <w:rPr>
          <w:rFonts w:cstheme="minorHAnsi"/>
        </w:rPr>
        <w:t xml:space="preserve"> customer’s peak Slice Right to Power </w:t>
      </w:r>
      <w:r w:rsidR="00BF1678">
        <w:rPr>
          <w:rFonts w:cstheme="minorHAnsi"/>
        </w:rPr>
        <w:t xml:space="preserve">(using four Slice RTP assumptions) </w:t>
      </w:r>
      <w:r w:rsidR="00B67BB3">
        <w:rPr>
          <w:rFonts w:cstheme="minorHAnsi"/>
        </w:rPr>
        <w:t xml:space="preserve">plus its </w:t>
      </w:r>
      <w:proofErr w:type="spellStart"/>
      <w:r w:rsidR="00B67BB3">
        <w:rPr>
          <w:rFonts w:cstheme="minorHAnsi"/>
        </w:rPr>
        <w:t>aHLH</w:t>
      </w:r>
      <w:proofErr w:type="spellEnd"/>
      <w:r w:rsidR="00B67BB3">
        <w:rPr>
          <w:rFonts w:cstheme="minorHAnsi"/>
        </w:rPr>
        <w:t xml:space="preserve"> Block amounts.  This change in peak load obligations </w:t>
      </w:r>
      <w:r w:rsidR="00F458BD">
        <w:rPr>
          <w:rFonts w:cstheme="minorHAnsi"/>
        </w:rPr>
        <w:t xml:space="preserve">(also described in more detail in the first section of this paper) </w:t>
      </w:r>
      <w:r w:rsidR="00B67BB3">
        <w:rPr>
          <w:rFonts w:cstheme="minorHAnsi"/>
        </w:rPr>
        <w:t xml:space="preserve">was multiplied by </w:t>
      </w:r>
      <w:r w:rsidR="00B774AA">
        <w:rPr>
          <w:rFonts w:cstheme="minorHAnsi"/>
        </w:rPr>
        <w:t>two capacity rates to develop a range of capacity costs due to the proposed product switches.  The two capacity rates were from the BP-</w:t>
      </w:r>
      <w:r w:rsidR="00D7428D">
        <w:rPr>
          <w:rFonts w:cstheme="minorHAnsi"/>
        </w:rPr>
        <w:t xml:space="preserve">24 </w:t>
      </w:r>
      <w:r w:rsidR="00B774AA">
        <w:rPr>
          <w:rFonts w:cstheme="minorHAnsi"/>
        </w:rPr>
        <w:t xml:space="preserve">final </w:t>
      </w:r>
      <w:r w:rsidR="00B774AA">
        <w:rPr>
          <w:rFonts w:cstheme="minorHAnsi"/>
        </w:rPr>
        <w:lastRenderedPageBreak/>
        <w:t>proposal, the first rate is the embedded cost of capacity of the federal system (</w:t>
      </w:r>
      <w:r w:rsidR="00940465">
        <w:rPr>
          <w:rFonts w:cstheme="minorHAnsi"/>
        </w:rPr>
        <w:t>$</w:t>
      </w:r>
      <w:r w:rsidR="00B774AA">
        <w:rPr>
          <w:rFonts w:cstheme="minorHAnsi"/>
        </w:rPr>
        <w:t>5.</w:t>
      </w:r>
      <w:r w:rsidR="00D7428D">
        <w:rPr>
          <w:rFonts w:cstheme="minorHAnsi"/>
        </w:rPr>
        <w:t>92</w:t>
      </w:r>
      <w:r w:rsidR="00B774AA">
        <w:rPr>
          <w:rFonts w:cstheme="minorHAnsi"/>
        </w:rPr>
        <w:t>/kW/</w:t>
      </w:r>
      <w:proofErr w:type="spellStart"/>
      <w:r w:rsidR="00B774AA">
        <w:rPr>
          <w:rFonts w:cstheme="minorHAnsi"/>
        </w:rPr>
        <w:t>mo</w:t>
      </w:r>
      <w:proofErr w:type="spellEnd"/>
      <w:r w:rsidR="00B774AA">
        <w:rPr>
          <w:rFonts w:cstheme="minorHAnsi"/>
        </w:rPr>
        <w:t xml:space="preserve">) and the second rate is the </w:t>
      </w:r>
      <w:r w:rsidR="00D6572A">
        <w:rPr>
          <w:rFonts w:cstheme="minorHAnsi"/>
        </w:rPr>
        <w:t xml:space="preserve">monthly average </w:t>
      </w:r>
      <w:r w:rsidR="00B774AA">
        <w:rPr>
          <w:rFonts w:cstheme="minorHAnsi"/>
        </w:rPr>
        <w:t>PF demand</w:t>
      </w:r>
      <w:r w:rsidR="00D6572A">
        <w:rPr>
          <w:rFonts w:cstheme="minorHAnsi"/>
        </w:rPr>
        <w:t xml:space="preserve"> rate of $9.</w:t>
      </w:r>
      <w:r w:rsidR="00D7428D">
        <w:rPr>
          <w:rFonts w:cstheme="minorHAnsi"/>
        </w:rPr>
        <w:t>54</w:t>
      </w:r>
      <w:r w:rsidR="00D6572A">
        <w:rPr>
          <w:rFonts w:cstheme="minorHAnsi"/>
        </w:rPr>
        <w:t xml:space="preserve">/kW/mo.  </w:t>
      </w:r>
      <w:r w:rsidR="00E10BB2">
        <w:rPr>
          <w:rFonts w:cstheme="minorHAnsi"/>
        </w:rPr>
        <w:t xml:space="preserve">The </w:t>
      </w:r>
      <w:r w:rsidR="00BF1678">
        <w:rPr>
          <w:rFonts w:cstheme="minorHAnsi"/>
        </w:rPr>
        <w:t xml:space="preserve">eight different </w:t>
      </w:r>
      <w:r w:rsidR="00E10BB2">
        <w:rPr>
          <w:rFonts w:cstheme="minorHAnsi"/>
        </w:rPr>
        <w:t xml:space="preserve">estimated capacity costs were offset by the forecast demand revenue the customers </w:t>
      </w:r>
      <w:r w:rsidR="00AB11D2">
        <w:rPr>
          <w:rFonts w:cstheme="minorHAnsi"/>
        </w:rPr>
        <w:t xml:space="preserve">would </w:t>
      </w:r>
      <w:r w:rsidR="00E10BB2">
        <w:rPr>
          <w:rFonts w:cstheme="minorHAnsi"/>
        </w:rPr>
        <w:t>pay as Load Following customers ($</w:t>
      </w:r>
      <w:r w:rsidR="001C10B1">
        <w:rPr>
          <w:rFonts w:cstheme="minorHAnsi"/>
        </w:rPr>
        <w:t>18.9</w:t>
      </w:r>
      <w:r w:rsidR="00E10BB2">
        <w:rPr>
          <w:rFonts w:cstheme="minorHAnsi"/>
        </w:rPr>
        <w:t xml:space="preserve"> million).  </w:t>
      </w:r>
      <w:r w:rsidR="00AB6225" w:rsidRPr="00B3426F">
        <w:rPr>
          <w:rFonts w:cstheme="minorHAnsi"/>
        </w:rPr>
        <w:t>T</w:t>
      </w:r>
      <w:r w:rsidR="00E10BB2">
        <w:rPr>
          <w:rFonts w:cstheme="minorHAnsi"/>
        </w:rPr>
        <w:t xml:space="preserve">he resulting net </w:t>
      </w:r>
      <w:r w:rsidR="00AB6225" w:rsidRPr="00B3426F">
        <w:rPr>
          <w:rFonts w:cstheme="minorHAnsi"/>
        </w:rPr>
        <w:t xml:space="preserve">capacity </w:t>
      </w:r>
      <w:r w:rsidR="00E10BB2">
        <w:rPr>
          <w:rFonts w:cstheme="minorHAnsi"/>
        </w:rPr>
        <w:t>costs range</w:t>
      </w:r>
      <w:r w:rsidR="00EE4182" w:rsidRPr="00B3426F">
        <w:rPr>
          <w:rFonts w:cstheme="minorHAnsi"/>
        </w:rPr>
        <w:t xml:space="preserve"> between</w:t>
      </w:r>
      <w:r w:rsidR="00E10BB2">
        <w:rPr>
          <w:rFonts w:cstheme="minorHAnsi"/>
        </w:rPr>
        <w:t xml:space="preserve"> -$</w:t>
      </w:r>
      <w:r w:rsidR="00E06832">
        <w:rPr>
          <w:rFonts w:cstheme="minorHAnsi"/>
        </w:rPr>
        <w:t xml:space="preserve">31.3 </w:t>
      </w:r>
      <w:r w:rsidR="00E10BB2">
        <w:rPr>
          <w:rFonts w:cstheme="minorHAnsi"/>
        </w:rPr>
        <w:t xml:space="preserve">million and </w:t>
      </w:r>
      <w:r w:rsidR="00E06832">
        <w:rPr>
          <w:rFonts w:cstheme="minorHAnsi"/>
        </w:rPr>
        <w:t>$10.6</w:t>
      </w:r>
      <w:r w:rsidR="00EE4182" w:rsidRPr="00B3426F">
        <w:rPr>
          <w:rFonts w:cstheme="minorHAnsi"/>
        </w:rPr>
        <w:t xml:space="preserve"> million</w:t>
      </w:r>
      <w:r w:rsidR="00BF1678">
        <w:rPr>
          <w:rFonts w:cstheme="minorHAnsi"/>
        </w:rPr>
        <w:t xml:space="preserve">. </w:t>
      </w:r>
      <w:r w:rsidR="009E7DB8" w:rsidRPr="009E7DB8">
        <w:rPr>
          <w:rFonts w:cstheme="minorHAnsi"/>
        </w:rPr>
        <w:t xml:space="preserve">All but one Slice assumption and capacity rate combination resulted in negative net capacity costs, this means under most assumptions BPA would have more demand revenue than it is estimated it would cost to serve the change in peak load obligations.  </w:t>
      </w:r>
    </w:p>
    <w:p w14:paraId="69957372" w14:textId="42A72C79" w:rsidR="00165320" w:rsidRDefault="00B83DE0" w:rsidP="00165320">
      <w:pPr>
        <w:keepNext/>
        <w:spacing w:line="30" w:lineRule="atLeast"/>
        <w:rPr>
          <w:rFonts w:cstheme="minorHAnsi"/>
        </w:rPr>
      </w:pPr>
      <w:r w:rsidRPr="00B83DE0">
        <w:rPr>
          <w:noProof/>
        </w:rPr>
        <w:drawing>
          <wp:inline distT="0" distB="0" distL="0" distR="0" wp14:anchorId="45C35EA9" wp14:editId="152BFAEC">
            <wp:extent cx="6400800" cy="2589530"/>
            <wp:effectExtent l="0" t="0" r="0" b="1270"/>
            <wp:docPr id="705671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2589530"/>
                    </a:xfrm>
                    <a:prstGeom prst="rect">
                      <a:avLst/>
                    </a:prstGeom>
                    <a:noFill/>
                    <a:ln>
                      <a:noFill/>
                    </a:ln>
                  </pic:spPr>
                </pic:pic>
              </a:graphicData>
            </a:graphic>
          </wp:inline>
        </w:drawing>
      </w:r>
    </w:p>
    <w:p w14:paraId="04584097" w14:textId="0DFF405A" w:rsidR="004145AE" w:rsidRDefault="004145AE" w:rsidP="00165320">
      <w:pPr>
        <w:keepNext/>
        <w:spacing w:line="30" w:lineRule="atLeast"/>
        <w:rPr>
          <w:rFonts w:cstheme="minorHAnsi"/>
        </w:rPr>
      </w:pPr>
    </w:p>
    <w:p w14:paraId="758B1E21" w14:textId="1BB4B64D" w:rsidR="0063758B" w:rsidRPr="0063758B" w:rsidRDefault="0063758B" w:rsidP="004431A3">
      <w:pPr>
        <w:spacing w:line="30" w:lineRule="atLeast"/>
        <w:rPr>
          <w:rFonts w:cstheme="minorHAnsi"/>
        </w:rPr>
      </w:pPr>
    </w:p>
    <w:sectPr w:rsidR="0063758B" w:rsidRPr="0063758B" w:rsidSect="004145AE">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8AACA" w14:textId="77777777" w:rsidR="00CB7CB6" w:rsidRDefault="00CB7CB6" w:rsidP="0063758B">
      <w:pPr>
        <w:spacing w:after="0" w:line="240" w:lineRule="auto"/>
      </w:pPr>
      <w:r>
        <w:separator/>
      </w:r>
    </w:p>
  </w:endnote>
  <w:endnote w:type="continuationSeparator" w:id="0">
    <w:p w14:paraId="2C5908D4" w14:textId="77777777" w:rsidR="00CB7CB6" w:rsidRDefault="00CB7CB6" w:rsidP="0063758B">
      <w:pPr>
        <w:spacing w:after="0" w:line="240" w:lineRule="auto"/>
      </w:pPr>
      <w:r>
        <w:continuationSeparator/>
      </w:r>
    </w:p>
  </w:endnote>
  <w:endnote w:type="continuationNotice" w:id="1">
    <w:p w14:paraId="1A4543AC" w14:textId="77777777" w:rsidR="00CB7CB6" w:rsidRDefault="00CB7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192874"/>
      <w:docPartObj>
        <w:docPartGallery w:val="Page Numbers (Bottom of Page)"/>
        <w:docPartUnique/>
      </w:docPartObj>
    </w:sdtPr>
    <w:sdtEndPr>
      <w:rPr>
        <w:noProof/>
      </w:rPr>
    </w:sdtEndPr>
    <w:sdtContent>
      <w:p w14:paraId="10DCE0AE" w14:textId="453D336E" w:rsidR="002E473F" w:rsidRDefault="002E473F">
        <w:pPr>
          <w:pStyle w:val="Footer"/>
          <w:jc w:val="right"/>
        </w:pPr>
        <w:r>
          <w:fldChar w:fldCharType="begin"/>
        </w:r>
        <w:r>
          <w:instrText xml:space="preserve"> PAGE   \* MERGEFORMAT </w:instrText>
        </w:r>
        <w:r>
          <w:fldChar w:fldCharType="separate"/>
        </w:r>
        <w:r w:rsidR="00AB11D2">
          <w:rPr>
            <w:noProof/>
          </w:rPr>
          <w:t>5</w:t>
        </w:r>
        <w:r>
          <w:rPr>
            <w:noProof/>
          </w:rPr>
          <w:fldChar w:fldCharType="end"/>
        </w:r>
      </w:p>
    </w:sdtContent>
  </w:sdt>
  <w:p w14:paraId="30A83E19" w14:textId="1C840C69" w:rsidR="002E473F" w:rsidRDefault="002E4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AA0BD" w14:textId="77777777" w:rsidR="00CB7CB6" w:rsidRDefault="00CB7CB6" w:rsidP="0063758B">
      <w:pPr>
        <w:spacing w:after="0" w:line="240" w:lineRule="auto"/>
      </w:pPr>
      <w:r>
        <w:separator/>
      </w:r>
    </w:p>
  </w:footnote>
  <w:footnote w:type="continuationSeparator" w:id="0">
    <w:p w14:paraId="094C6E8A" w14:textId="77777777" w:rsidR="00CB7CB6" w:rsidRDefault="00CB7CB6" w:rsidP="0063758B">
      <w:pPr>
        <w:spacing w:after="0" w:line="240" w:lineRule="auto"/>
      </w:pPr>
      <w:r>
        <w:continuationSeparator/>
      </w:r>
    </w:p>
  </w:footnote>
  <w:footnote w:type="continuationNotice" w:id="1">
    <w:p w14:paraId="38473D4F" w14:textId="77777777" w:rsidR="00CB7CB6" w:rsidRDefault="00CB7CB6">
      <w:pPr>
        <w:spacing w:after="0" w:line="240" w:lineRule="auto"/>
      </w:pPr>
    </w:p>
  </w:footnote>
  <w:footnote w:id="2">
    <w:p w14:paraId="0FEA8707" w14:textId="5BCB3576" w:rsidR="002E473F" w:rsidRPr="00E124A6" w:rsidRDefault="002E473F" w:rsidP="00CA0F17">
      <w:pPr>
        <w:pStyle w:val="FootnoteText"/>
        <w:rPr>
          <w:sz w:val="18"/>
          <w:szCs w:val="18"/>
        </w:rPr>
      </w:pPr>
      <w:r w:rsidRPr="00E124A6">
        <w:rPr>
          <w:rStyle w:val="FootnoteReference"/>
          <w:sz w:val="18"/>
          <w:szCs w:val="18"/>
        </w:rPr>
        <w:footnoteRef/>
      </w:r>
      <w:r w:rsidRPr="00E124A6">
        <w:rPr>
          <w:sz w:val="18"/>
          <w:szCs w:val="18"/>
        </w:rPr>
        <w:t xml:space="preserve"> </w:t>
      </w:r>
      <w:r>
        <w:rPr>
          <w:sz w:val="18"/>
          <w:szCs w:val="18"/>
        </w:rPr>
        <w:t>In BP</w:t>
      </w:r>
      <w:r w:rsidR="001C10B1">
        <w:rPr>
          <w:sz w:val="18"/>
          <w:szCs w:val="18"/>
        </w:rPr>
        <w:t>24</w:t>
      </w:r>
      <w:r>
        <w:rPr>
          <w:sz w:val="18"/>
          <w:szCs w:val="18"/>
        </w:rPr>
        <w:t>, t</w:t>
      </w:r>
      <w:r w:rsidR="001C10B1">
        <w:rPr>
          <w:sz w:val="18"/>
          <w:szCs w:val="18"/>
        </w:rPr>
        <w:t>hree</w:t>
      </w:r>
      <w:r>
        <w:rPr>
          <w:sz w:val="18"/>
          <w:szCs w:val="18"/>
        </w:rPr>
        <w:t xml:space="preserve"> c</w:t>
      </w:r>
      <w:r w:rsidRPr="00CA0F17">
        <w:rPr>
          <w:sz w:val="18"/>
          <w:szCs w:val="18"/>
        </w:rPr>
        <w:t xml:space="preserve">ustomers that converted from the Slice product to a non-Slice product beginning </w:t>
      </w:r>
      <w:r w:rsidR="001C10B1">
        <w:rPr>
          <w:sz w:val="18"/>
          <w:szCs w:val="18"/>
        </w:rPr>
        <w:t>Fall 2023</w:t>
      </w:r>
      <w:r w:rsidRPr="00CA0F17">
        <w:rPr>
          <w:sz w:val="18"/>
          <w:szCs w:val="18"/>
        </w:rPr>
        <w:t xml:space="preserve">, </w:t>
      </w:r>
      <w:r>
        <w:rPr>
          <w:sz w:val="18"/>
          <w:szCs w:val="18"/>
        </w:rPr>
        <w:t>were</w:t>
      </w:r>
      <w:r w:rsidRPr="00CA0F17">
        <w:rPr>
          <w:sz w:val="18"/>
          <w:szCs w:val="18"/>
        </w:rPr>
        <w:t xml:space="preserve"> subject to a customer-specific monthly charge</w:t>
      </w:r>
      <w:r>
        <w:rPr>
          <w:sz w:val="18"/>
          <w:szCs w:val="18"/>
        </w:rPr>
        <w:t xml:space="preserve"> due to product switching</w:t>
      </w:r>
      <w:r w:rsidRPr="00CA0F17">
        <w:rPr>
          <w:sz w:val="18"/>
          <w:szCs w:val="18"/>
        </w:rPr>
        <w:t>. These customers received benefits associated with</w:t>
      </w:r>
      <w:r w:rsidR="001C10B1">
        <w:rPr>
          <w:sz w:val="18"/>
          <w:szCs w:val="18"/>
        </w:rPr>
        <w:t xml:space="preserve"> the Reserves Distribution Clause (RDC</w:t>
      </w:r>
      <w:proofErr w:type="gramStart"/>
      <w:r w:rsidR="001C10B1">
        <w:rPr>
          <w:sz w:val="18"/>
          <w:szCs w:val="18"/>
        </w:rPr>
        <w:t>)</w:t>
      </w:r>
      <w:r w:rsidRPr="00CA0F17">
        <w:rPr>
          <w:sz w:val="18"/>
          <w:szCs w:val="18"/>
        </w:rPr>
        <w:t xml:space="preserve"> </w:t>
      </w:r>
      <w:r>
        <w:rPr>
          <w:sz w:val="18"/>
          <w:szCs w:val="18"/>
        </w:rPr>
        <w:t>)</w:t>
      </w:r>
      <w:proofErr w:type="gramEnd"/>
      <w:r>
        <w:rPr>
          <w:sz w:val="18"/>
          <w:szCs w:val="18"/>
        </w:rPr>
        <w:t xml:space="preserve"> </w:t>
      </w:r>
      <w:r w:rsidRPr="00CA0F17">
        <w:rPr>
          <w:sz w:val="18"/>
          <w:szCs w:val="18"/>
        </w:rPr>
        <w:t xml:space="preserve">management actions in FY </w:t>
      </w:r>
      <w:r w:rsidR="001C10B1" w:rsidRPr="00CA0F17">
        <w:rPr>
          <w:sz w:val="18"/>
          <w:szCs w:val="18"/>
        </w:rPr>
        <w:t>20</w:t>
      </w:r>
      <w:r w:rsidR="001C10B1">
        <w:rPr>
          <w:sz w:val="18"/>
          <w:szCs w:val="18"/>
        </w:rPr>
        <w:t>22</w:t>
      </w:r>
      <w:r w:rsidR="001C10B1" w:rsidRPr="00CA0F17">
        <w:rPr>
          <w:sz w:val="18"/>
          <w:szCs w:val="18"/>
        </w:rPr>
        <w:t xml:space="preserve"> </w:t>
      </w:r>
      <w:r w:rsidRPr="00CA0F17">
        <w:rPr>
          <w:sz w:val="18"/>
          <w:szCs w:val="18"/>
        </w:rPr>
        <w:t xml:space="preserve">and </w:t>
      </w:r>
      <w:r w:rsidR="001C10B1" w:rsidRPr="00CA0F17">
        <w:rPr>
          <w:sz w:val="18"/>
          <w:szCs w:val="18"/>
        </w:rPr>
        <w:t>20</w:t>
      </w:r>
      <w:r w:rsidR="001C10B1">
        <w:rPr>
          <w:sz w:val="18"/>
          <w:szCs w:val="18"/>
        </w:rPr>
        <w:t>23</w:t>
      </w:r>
      <w:r w:rsidR="001C10B1" w:rsidRPr="00CA0F17">
        <w:rPr>
          <w:sz w:val="18"/>
          <w:szCs w:val="18"/>
        </w:rPr>
        <w:t xml:space="preserve"> </w:t>
      </w:r>
      <w:r w:rsidRPr="00CA0F17">
        <w:rPr>
          <w:sz w:val="18"/>
          <w:szCs w:val="18"/>
        </w:rPr>
        <w:t xml:space="preserve">through the </w:t>
      </w:r>
      <w:r w:rsidR="001C10B1">
        <w:rPr>
          <w:sz w:val="18"/>
          <w:szCs w:val="18"/>
        </w:rPr>
        <w:t xml:space="preserve">Slice Product that would not otherwise have been captured in the </w:t>
      </w:r>
      <w:r w:rsidRPr="00CA0F17">
        <w:rPr>
          <w:sz w:val="18"/>
          <w:szCs w:val="18"/>
        </w:rPr>
        <w:t>Slice True-Up for those years, while Non-Slice customers receive</w:t>
      </w:r>
      <w:r>
        <w:rPr>
          <w:sz w:val="18"/>
          <w:szCs w:val="18"/>
        </w:rPr>
        <w:t>d</w:t>
      </w:r>
      <w:r w:rsidRPr="00CA0F17">
        <w:rPr>
          <w:sz w:val="18"/>
          <w:szCs w:val="18"/>
        </w:rPr>
        <w:t xml:space="preserve"> their share of FY </w:t>
      </w:r>
      <w:r w:rsidR="001C10B1">
        <w:rPr>
          <w:sz w:val="18"/>
          <w:szCs w:val="18"/>
        </w:rPr>
        <w:t>2022 and 2023</w:t>
      </w:r>
      <w:r w:rsidRPr="00CA0F17">
        <w:rPr>
          <w:sz w:val="18"/>
          <w:szCs w:val="18"/>
        </w:rPr>
        <w:t xml:space="preserve"> benefits </w:t>
      </w:r>
      <w:r w:rsidR="001C10B1">
        <w:rPr>
          <w:sz w:val="18"/>
          <w:szCs w:val="18"/>
        </w:rPr>
        <w:t xml:space="preserve">and costs </w:t>
      </w:r>
      <w:r w:rsidRPr="00CA0F17">
        <w:rPr>
          <w:sz w:val="18"/>
          <w:szCs w:val="18"/>
        </w:rPr>
        <w:t xml:space="preserve">in </w:t>
      </w:r>
      <w:r w:rsidRPr="00CA0F17" w:rsidDel="001C10B1">
        <w:rPr>
          <w:sz w:val="18"/>
          <w:szCs w:val="18"/>
        </w:rPr>
        <w:t xml:space="preserve">the </w:t>
      </w:r>
      <w:r w:rsidR="001C10B1">
        <w:rPr>
          <w:sz w:val="18"/>
          <w:szCs w:val="18"/>
        </w:rPr>
        <w:t>2022 and 2023 RDC</w:t>
      </w:r>
      <w:r w:rsidRPr="00CA0F17">
        <w:rPr>
          <w:sz w:val="18"/>
          <w:szCs w:val="18"/>
        </w:rPr>
        <w:t xml:space="preserve">. </w:t>
      </w:r>
      <w:r>
        <w:rPr>
          <w:sz w:val="18"/>
          <w:szCs w:val="18"/>
        </w:rPr>
        <w:t xml:space="preserve"> </w:t>
      </w:r>
      <w:r w:rsidRPr="00CA0F17">
        <w:rPr>
          <w:sz w:val="18"/>
          <w:szCs w:val="18"/>
        </w:rPr>
        <w:t xml:space="preserve">Application of </w:t>
      </w:r>
      <w:r>
        <w:rPr>
          <w:sz w:val="18"/>
          <w:szCs w:val="18"/>
        </w:rPr>
        <w:t>the</w:t>
      </w:r>
      <w:r w:rsidRPr="00CA0F17">
        <w:rPr>
          <w:sz w:val="18"/>
          <w:szCs w:val="18"/>
        </w:rPr>
        <w:t xml:space="preserve"> </w:t>
      </w:r>
      <w:r>
        <w:rPr>
          <w:sz w:val="18"/>
          <w:szCs w:val="18"/>
        </w:rPr>
        <w:t>BP</w:t>
      </w:r>
      <w:r w:rsidR="001C10B1">
        <w:rPr>
          <w:sz w:val="18"/>
          <w:szCs w:val="18"/>
        </w:rPr>
        <w:t>24</w:t>
      </w:r>
      <w:r>
        <w:rPr>
          <w:sz w:val="18"/>
          <w:szCs w:val="18"/>
        </w:rPr>
        <w:t xml:space="preserve"> product switching</w:t>
      </w:r>
      <w:r w:rsidRPr="00CA0F17">
        <w:rPr>
          <w:sz w:val="18"/>
          <w:szCs w:val="18"/>
        </w:rPr>
        <w:t xml:space="preserve"> </w:t>
      </w:r>
      <w:r>
        <w:rPr>
          <w:sz w:val="18"/>
          <w:szCs w:val="18"/>
        </w:rPr>
        <w:t xml:space="preserve">charge </w:t>
      </w:r>
      <w:r w:rsidRPr="00CA0F17">
        <w:rPr>
          <w:sz w:val="18"/>
          <w:szCs w:val="18"/>
        </w:rPr>
        <w:t>avoid</w:t>
      </w:r>
      <w:r>
        <w:rPr>
          <w:sz w:val="18"/>
          <w:szCs w:val="18"/>
        </w:rPr>
        <w:t>ed</w:t>
      </w:r>
      <w:r w:rsidRPr="00CA0F17">
        <w:rPr>
          <w:sz w:val="18"/>
          <w:szCs w:val="18"/>
        </w:rPr>
        <w:t xml:space="preserve"> having the former Slice customers receive</w:t>
      </w:r>
      <w:r>
        <w:rPr>
          <w:sz w:val="18"/>
          <w:szCs w:val="18"/>
        </w:rPr>
        <w:t xml:space="preserve"> </w:t>
      </w:r>
      <w:r w:rsidR="001C10B1">
        <w:rPr>
          <w:sz w:val="18"/>
          <w:szCs w:val="18"/>
        </w:rPr>
        <w:t>RDC</w:t>
      </w:r>
      <w:r w:rsidR="001C10B1" w:rsidRPr="00CA0F17">
        <w:rPr>
          <w:sz w:val="18"/>
          <w:szCs w:val="18"/>
        </w:rPr>
        <w:t xml:space="preserve"> </w:t>
      </w:r>
      <w:r w:rsidRPr="00CA0F17">
        <w:rPr>
          <w:sz w:val="18"/>
          <w:szCs w:val="18"/>
        </w:rPr>
        <w:t>benefits twice</w:t>
      </w:r>
      <w:r>
        <w:rPr>
          <w:sz w:val="18"/>
          <w:szCs w:val="18"/>
        </w:rPr>
        <w:t>.  The FY</w:t>
      </w:r>
      <w:r w:rsidR="001C10B1">
        <w:rPr>
          <w:sz w:val="18"/>
          <w:szCs w:val="18"/>
        </w:rPr>
        <w:t>23</w:t>
      </w:r>
      <w:r>
        <w:rPr>
          <w:sz w:val="18"/>
          <w:szCs w:val="18"/>
        </w:rPr>
        <w:t xml:space="preserve">charge was </w:t>
      </w:r>
      <w:r w:rsidR="00A42446">
        <w:rPr>
          <w:sz w:val="18"/>
          <w:szCs w:val="18"/>
        </w:rPr>
        <w:t>$2,337,543</w:t>
      </w:r>
      <w:r>
        <w:rPr>
          <w:sz w:val="18"/>
          <w:szCs w:val="18"/>
        </w:rPr>
        <w:t xml:space="preserve"> for </w:t>
      </w:r>
      <w:r w:rsidR="001C10B1">
        <w:rPr>
          <w:sz w:val="18"/>
          <w:szCs w:val="18"/>
        </w:rPr>
        <w:t xml:space="preserve">Benton PUD, </w:t>
      </w:r>
      <w:r w:rsidR="00A42446">
        <w:rPr>
          <w:sz w:val="18"/>
          <w:szCs w:val="18"/>
        </w:rPr>
        <w:t>$1,654,609</w:t>
      </w:r>
      <w:r>
        <w:rPr>
          <w:sz w:val="18"/>
          <w:szCs w:val="18"/>
        </w:rPr>
        <w:t xml:space="preserve"> for </w:t>
      </w:r>
      <w:r w:rsidR="001C10B1">
        <w:rPr>
          <w:sz w:val="18"/>
          <w:szCs w:val="18"/>
        </w:rPr>
        <w:t>Grays Harbor PUD, and $</w:t>
      </w:r>
      <w:r w:rsidR="00A42446">
        <w:rPr>
          <w:sz w:val="18"/>
          <w:szCs w:val="18"/>
        </w:rPr>
        <w:t>481,189</w:t>
      </w:r>
      <w:r w:rsidR="001C10B1">
        <w:rPr>
          <w:sz w:val="18"/>
          <w:szCs w:val="18"/>
        </w:rPr>
        <w:t xml:space="preserve"> for Pacific PUD</w:t>
      </w:r>
      <w:r>
        <w:rPr>
          <w:sz w:val="18"/>
          <w:szCs w:val="18"/>
        </w:rPr>
        <w:t xml:space="preserve">.  </w:t>
      </w:r>
    </w:p>
  </w:footnote>
  <w:footnote w:id="3">
    <w:p w14:paraId="334ADFDA" w14:textId="77777777" w:rsidR="002E473F" w:rsidRPr="00E124A6" w:rsidRDefault="002E473F" w:rsidP="0063758B">
      <w:pPr>
        <w:pStyle w:val="FootnoteText"/>
        <w:rPr>
          <w:sz w:val="18"/>
          <w:szCs w:val="18"/>
        </w:rPr>
      </w:pPr>
      <w:r w:rsidRPr="00E124A6">
        <w:rPr>
          <w:rStyle w:val="FootnoteReference"/>
          <w:sz w:val="18"/>
          <w:szCs w:val="18"/>
        </w:rPr>
        <w:footnoteRef/>
      </w:r>
      <w:r w:rsidRPr="00E124A6">
        <w:rPr>
          <w:sz w:val="18"/>
          <w:szCs w:val="18"/>
        </w:rPr>
        <w:t xml:space="preserve"> To remove potential distortion in the shape of the demand rate across the year, the demand rate is de-shaped before computing the $/MWh rate of demand revenue collection for each customer, to remove potential shape bias.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C3ED2" w14:textId="55D8619A" w:rsidR="002E473F" w:rsidRPr="0063758B" w:rsidRDefault="002E473F">
    <w:pPr>
      <w:pStyle w:val="Header"/>
      <w:rPr>
        <w:sz w:val="24"/>
        <w:szCs w:val="24"/>
      </w:rPr>
    </w:pPr>
    <w:r w:rsidRPr="0063758B">
      <w:rPr>
        <w:sz w:val="24"/>
        <w:szCs w:val="24"/>
      </w:rPr>
      <w:t>PRODUCT SWITCHING ANALYSIS</w:t>
    </w:r>
    <w:r>
      <w:rPr>
        <w:sz w:val="24"/>
        <w:szCs w:val="24"/>
      </w:rPr>
      <w:t xml:space="preserve"> </w:t>
    </w:r>
    <w:r>
      <w:rPr>
        <w:sz w:val="24"/>
        <w:szCs w:val="24"/>
      </w:rPr>
      <w:tab/>
    </w:r>
    <w:r>
      <w:rPr>
        <w:sz w:val="24"/>
        <w:szCs w:val="24"/>
      </w:rPr>
      <w:tab/>
      <w:t>Ju</w:t>
    </w:r>
    <w:r w:rsidR="00F93200">
      <w:rPr>
        <w:sz w:val="24"/>
        <w:szCs w:val="24"/>
      </w:rPr>
      <w:t>ly</w:t>
    </w:r>
    <w:r w:rsidRPr="0063758B">
      <w:rPr>
        <w:sz w:val="24"/>
        <w:szCs w:val="24"/>
      </w:rPr>
      <w:t xml:space="preserve"> 202</w:t>
    </w:r>
    <w:r w:rsidR="00544565">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84B34"/>
    <w:multiLevelType w:val="hybridMultilevel"/>
    <w:tmpl w:val="AF0A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7245C"/>
    <w:multiLevelType w:val="hybridMultilevel"/>
    <w:tmpl w:val="3458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275C"/>
    <w:multiLevelType w:val="hybridMultilevel"/>
    <w:tmpl w:val="59A6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C7532"/>
    <w:multiLevelType w:val="hybridMultilevel"/>
    <w:tmpl w:val="85905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1C058D"/>
    <w:multiLevelType w:val="hybridMultilevel"/>
    <w:tmpl w:val="9410C1AA"/>
    <w:lvl w:ilvl="0" w:tplc="ACBE7E30">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951351">
    <w:abstractNumId w:val="2"/>
  </w:num>
  <w:num w:numId="2" w16cid:durableId="1667368307">
    <w:abstractNumId w:val="3"/>
  </w:num>
  <w:num w:numId="3" w16cid:durableId="1031346351">
    <w:abstractNumId w:val="1"/>
  </w:num>
  <w:num w:numId="4" w16cid:durableId="716467938">
    <w:abstractNumId w:val="0"/>
  </w:num>
  <w:num w:numId="5" w16cid:durableId="1207374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D61"/>
    <w:rsid w:val="00000F19"/>
    <w:rsid w:val="00023E2E"/>
    <w:rsid w:val="000B13AC"/>
    <w:rsid w:val="000C1285"/>
    <w:rsid w:val="000C3B15"/>
    <w:rsid w:val="000D2DAE"/>
    <w:rsid w:val="000E0571"/>
    <w:rsid w:val="000E76FB"/>
    <w:rsid w:val="00103A5D"/>
    <w:rsid w:val="00117248"/>
    <w:rsid w:val="00165320"/>
    <w:rsid w:val="00165A25"/>
    <w:rsid w:val="0017207A"/>
    <w:rsid w:val="0017215D"/>
    <w:rsid w:val="001960F5"/>
    <w:rsid w:val="001A4054"/>
    <w:rsid w:val="001C10B1"/>
    <w:rsid w:val="001D299D"/>
    <w:rsid w:val="001E41A3"/>
    <w:rsid w:val="002075C7"/>
    <w:rsid w:val="00282EBE"/>
    <w:rsid w:val="00292B9B"/>
    <w:rsid w:val="002E473F"/>
    <w:rsid w:val="002F1575"/>
    <w:rsid w:val="00312AEC"/>
    <w:rsid w:val="00323841"/>
    <w:rsid w:val="00356664"/>
    <w:rsid w:val="00371788"/>
    <w:rsid w:val="003D38DA"/>
    <w:rsid w:val="003D39DE"/>
    <w:rsid w:val="003F7E3E"/>
    <w:rsid w:val="004145AE"/>
    <w:rsid w:val="0044036D"/>
    <w:rsid w:val="004431A3"/>
    <w:rsid w:val="00462AE3"/>
    <w:rsid w:val="004B5560"/>
    <w:rsid w:val="004C4318"/>
    <w:rsid w:val="004C6FBE"/>
    <w:rsid w:val="00507655"/>
    <w:rsid w:val="00507E45"/>
    <w:rsid w:val="00544565"/>
    <w:rsid w:val="00554FEF"/>
    <w:rsid w:val="00561E3A"/>
    <w:rsid w:val="00562CB3"/>
    <w:rsid w:val="005B427D"/>
    <w:rsid w:val="006077C9"/>
    <w:rsid w:val="00612061"/>
    <w:rsid w:val="00613547"/>
    <w:rsid w:val="00627F6F"/>
    <w:rsid w:val="0063758B"/>
    <w:rsid w:val="00671964"/>
    <w:rsid w:val="006A3C6B"/>
    <w:rsid w:val="006C2086"/>
    <w:rsid w:val="006C3E26"/>
    <w:rsid w:val="006C41A3"/>
    <w:rsid w:val="006D411F"/>
    <w:rsid w:val="0070331D"/>
    <w:rsid w:val="00734268"/>
    <w:rsid w:val="00793DBE"/>
    <w:rsid w:val="007B3594"/>
    <w:rsid w:val="007D6387"/>
    <w:rsid w:val="007D74BC"/>
    <w:rsid w:val="007D7E36"/>
    <w:rsid w:val="008320BE"/>
    <w:rsid w:val="00853474"/>
    <w:rsid w:val="00856063"/>
    <w:rsid w:val="008612A2"/>
    <w:rsid w:val="00871E18"/>
    <w:rsid w:val="00885BAA"/>
    <w:rsid w:val="00891A34"/>
    <w:rsid w:val="00896F54"/>
    <w:rsid w:val="008A162C"/>
    <w:rsid w:val="008F5062"/>
    <w:rsid w:val="009034E4"/>
    <w:rsid w:val="00910C5F"/>
    <w:rsid w:val="00910CFF"/>
    <w:rsid w:val="009247E5"/>
    <w:rsid w:val="00940465"/>
    <w:rsid w:val="009540C6"/>
    <w:rsid w:val="00961809"/>
    <w:rsid w:val="00992658"/>
    <w:rsid w:val="00996031"/>
    <w:rsid w:val="009A532D"/>
    <w:rsid w:val="009B47E5"/>
    <w:rsid w:val="009E64C1"/>
    <w:rsid w:val="009E7DB8"/>
    <w:rsid w:val="00A42446"/>
    <w:rsid w:val="00A50835"/>
    <w:rsid w:val="00A8698F"/>
    <w:rsid w:val="00A87170"/>
    <w:rsid w:val="00A872E6"/>
    <w:rsid w:val="00AA3837"/>
    <w:rsid w:val="00AB0C0C"/>
    <w:rsid w:val="00AB11D2"/>
    <w:rsid w:val="00AB1500"/>
    <w:rsid w:val="00AB6225"/>
    <w:rsid w:val="00B01565"/>
    <w:rsid w:val="00B023F6"/>
    <w:rsid w:val="00B137F5"/>
    <w:rsid w:val="00B3426F"/>
    <w:rsid w:val="00B3448C"/>
    <w:rsid w:val="00B67BB3"/>
    <w:rsid w:val="00B7263D"/>
    <w:rsid w:val="00B774AA"/>
    <w:rsid w:val="00B83DE0"/>
    <w:rsid w:val="00B9141F"/>
    <w:rsid w:val="00BA2708"/>
    <w:rsid w:val="00BD0889"/>
    <w:rsid w:val="00BE1B31"/>
    <w:rsid w:val="00BF1678"/>
    <w:rsid w:val="00C0142E"/>
    <w:rsid w:val="00C179AD"/>
    <w:rsid w:val="00C20E9A"/>
    <w:rsid w:val="00C24AF6"/>
    <w:rsid w:val="00C25376"/>
    <w:rsid w:val="00C256F8"/>
    <w:rsid w:val="00CA0F17"/>
    <w:rsid w:val="00CB7CB6"/>
    <w:rsid w:val="00CC1D61"/>
    <w:rsid w:val="00CD3649"/>
    <w:rsid w:val="00D06AB5"/>
    <w:rsid w:val="00D07C96"/>
    <w:rsid w:val="00D128E4"/>
    <w:rsid w:val="00D34141"/>
    <w:rsid w:val="00D57215"/>
    <w:rsid w:val="00D6287A"/>
    <w:rsid w:val="00D6386E"/>
    <w:rsid w:val="00D6572A"/>
    <w:rsid w:val="00D70403"/>
    <w:rsid w:val="00D71F2D"/>
    <w:rsid w:val="00D7428D"/>
    <w:rsid w:val="00D81DBF"/>
    <w:rsid w:val="00D82BAD"/>
    <w:rsid w:val="00D85E85"/>
    <w:rsid w:val="00D962BC"/>
    <w:rsid w:val="00DF1DED"/>
    <w:rsid w:val="00DF7691"/>
    <w:rsid w:val="00E06832"/>
    <w:rsid w:val="00E10BB2"/>
    <w:rsid w:val="00E232C8"/>
    <w:rsid w:val="00E551F1"/>
    <w:rsid w:val="00E70F5A"/>
    <w:rsid w:val="00E71BE4"/>
    <w:rsid w:val="00E933C7"/>
    <w:rsid w:val="00EA4ABB"/>
    <w:rsid w:val="00EA4FF7"/>
    <w:rsid w:val="00EE0C3F"/>
    <w:rsid w:val="00EE4182"/>
    <w:rsid w:val="00F10DE7"/>
    <w:rsid w:val="00F3417F"/>
    <w:rsid w:val="00F35465"/>
    <w:rsid w:val="00F42363"/>
    <w:rsid w:val="00F458BD"/>
    <w:rsid w:val="00F67866"/>
    <w:rsid w:val="00F916D6"/>
    <w:rsid w:val="00F93200"/>
    <w:rsid w:val="00FB6793"/>
    <w:rsid w:val="00FB7F8A"/>
    <w:rsid w:val="00FF0A07"/>
    <w:rsid w:val="00FF45D9"/>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FE8E4"/>
  <w15:chartTrackingRefBased/>
  <w15:docId w15:val="{7A7363EA-FF35-4DD1-95CE-D4459B6A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D61"/>
    <w:pPr>
      <w:ind w:left="720"/>
      <w:contextualSpacing/>
    </w:pPr>
  </w:style>
  <w:style w:type="paragraph" w:styleId="FootnoteText">
    <w:name w:val="footnote text"/>
    <w:basedOn w:val="Normal"/>
    <w:link w:val="FootnoteTextChar"/>
    <w:uiPriority w:val="99"/>
    <w:semiHidden/>
    <w:unhideWhenUsed/>
    <w:rsid w:val="00637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58B"/>
    <w:rPr>
      <w:sz w:val="20"/>
      <w:szCs w:val="20"/>
    </w:rPr>
  </w:style>
  <w:style w:type="character" w:styleId="FootnoteReference">
    <w:name w:val="footnote reference"/>
    <w:basedOn w:val="DefaultParagraphFont"/>
    <w:uiPriority w:val="99"/>
    <w:semiHidden/>
    <w:unhideWhenUsed/>
    <w:rsid w:val="0063758B"/>
    <w:rPr>
      <w:vertAlign w:val="superscript"/>
    </w:rPr>
  </w:style>
  <w:style w:type="paragraph" w:styleId="Header">
    <w:name w:val="header"/>
    <w:basedOn w:val="Normal"/>
    <w:link w:val="HeaderChar"/>
    <w:uiPriority w:val="99"/>
    <w:unhideWhenUsed/>
    <w:rsid w:val="00637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58B"/>
  </w:style>
  <w:style w:type="paragraph" w:styleId="Footer">
    <w:name w:val="footer"/>
    <w:basedOn w:val="Normal"/>
    <w:link w:val="FooterChar"/>
    <w:uiPriority w:val="99"/>
    <w:unhideWhenUsed/>
    <w:rsid w:val="00637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58B"/>
  </w:style>
  <w:style w:type="character" w:styleId="CommentReference">
    <w:name w:val="annotation reference"/>
    <w:basedOn w:val="DefaultParagraphFont"/>
    <w:uiPriority w:val="99"/>
    <w:semiHidden/>
    <w:unhideWhenUsed/>
    <w:rsid w:val="00871E18"/>
    <w:rPr>
      <w:sz w:val="16"/>
      <w:szCs w:val="16"/>
    </w:rPr>
  </w:style>
  <w:style w:type="paragraph" w:styleId="CommentText">
    <w:name w:val="annotation text"/>
    <w:basedOn w:val="Normal"/>
    <w:link w:val="CommentTextChar"/>
    <w:uiPriority w:val="99"/>
    <w:unhideWhenUsed/>
    <w:rsid w:val="00871E18"/>
    <w:pPr>
      <w:spacing w:line="240" w:lineRule="auto"/>
    </w:pPr>
    <w:rPr>
      <w:sz w:val="20"/>
      <w:szCs w:val="20"/>
    </w:rPr>
  </w:style>
  <w:style w:type="character" w:customStyle="1" w:styleId="CommentTextChar">
    <w:name w:val="Comment Text Char"/>
    <w:basedOn w:val="DefaultParagraphFont"/>
    <w:link w:val="CommentText"/>
    <w:uiPriority w:val="99"/>
    <w:rsid w:val="00871E18"/>
    <w:rPr>
      <w:sz w:val="20"/>
      <w:szCs w:val="20"/>
    </w:rPr>
  </w:style>
  <w:style w:type="paragraph" w:styleId="CommentSubject">
    <w:name w:val="annotation subject"/>
    <w:basedOn w:val="CommentText"/>
    <w:next w:val="CommentText"/>
    <w:link w:val="CommentSubjectChar"/>
    <w:uiPriority w:val="99"/>
    <w:semiHidden/>
    <w:unhideWhenUsed/>
    <w:rsid w:val="00871E18"/>
    <w:rPr>
      <w:b/>
      <w:bCs/>
    </w:rPr>
  </w:style>
  <w:style w:type="character" w:customStyle="1" w:styleId="CommentSubjectChar">
    <w:name w:val="Comment Subject Char"/>
    <w:basedOn w:val="CommentTextChar"/>
    <w:link w:val="CommentSubject"/>
    <w:uiPriority w:val="99"/>
    <w:semiHidden/>
    <w:rsid w:val="00871E18"/>
    <w:rPr>
      <w:b/>
      <w:bCs/>
      <w:sz w:val="20"/>
      <w:szCs w:val="20"/>
    </w:rPr>
  </w:style>
  <w:style w:type="paragraph" w:styleId="BalloonText">
    <w:name w:val="Balloon Text"/>
    <w:basedOn w:val="Normal"/>
    <w:link w:val="BalloonTextChar"/>
    <w:uiPriority w:val="99"/>
    <w:semiHidden/>
    <w:unhideWhenUsed/>
    <w:rsid w:val="0087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E18"/>
    <w:rPr>
      <w:rFonts w:ascii="Segoe UI" w:hAnsi="Segoe UI" w:cs="Segoe UI"/>
      <w:sz w:val="18"/>
      <w:szCs w:val="18"/>
    </w:rPr>
  </w:style>
  <w:style w:type="paragraph" w:styleId="Revision">
    <w:name w:val="Revision"/>
    <w:hidden/>
    <w:uiPriority w:val="99"/>
    <w:semiHidden/>
    <w:rsid w:val="005B42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922">
      <w:bodyDiv w:val="1"/>
      <w:marLeft w:val="0"/>
      <w:marRight w:val="0"/>
      <w:marTop w:val="0"/>
      <w:marBottom w:val="0"/>
      <w:divBdr>
        <w:top w:val="none" w:sz="0" w:space="0" w:color="auto"/>
        <w:left w:val="none" w:sz="0" w:space="0" w:color="auto"/>
        <w:bottom w:val="none" w:sz="0" w:space="0" w:color="auto"/>
        <w:right w:val="none" w:sz="0" w:space="0" w:color="auto"/>
      </w:divBdr>
    </w:div>
    <w:div w:id="823474156">
      <w:bodyDiv w:val="1"/>
      <w:marLeft w:val="0"/>
      <w:marRight w:val="0"/>
      <w:marTop w:val="0"/>
      <w:marBottom w:val="0"/>
      <w:divBdr>
        <w:top w:val="none" w:sz="0" w:space="0" w:color="auto"/>
        <w:left w:val="none" w:sz="0" w:space="0" w:color="auto"/>
        <w:bottom w:val="none" w:sz="0" w:space="0" w:color="auto"/>
        <w:right w:val="none" w:sz="0" w:space="0" w:color="auto"/>
      </w:divBdr>
    </w:div>
    <w:div w:id="1790392860">
      <w:bodyDiv w:val="1"/>
      <w:marLeft w:val="0"/>
      <w:marRight w:val="0"/>
      <w:marTop w:val="0"/>
      <w:marBottom w:val="0"/>
      <w:divBdr>
        <w:top w:val="none" w:sz="0" w:space="0" w:color="auto"/>
        <w:left w:val="none" w:sz="0" w:space="0" w:color="auto"/>
        <w:bottom w:val="none" w:sz="0" w:space="0" w:color="auto"/>
        <w:right w:val="none" w:sz="0" w:space="0" w:color="auto"/>
      </w:divBdr>
    </w:div>
    <w:div w:id="20788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8A955665C7F439FC28C9483F82B7F" ma:contentTypeVersion="10" ma:contentTypeDescription="Create a new document." ma:contentTypeScope="" ma:versionID="9a2d2b6b2598b33c46b33a2549fde561">
  <xsd:schema xmlns:xsd="http://www.w3.org/2001/XMLSchema" xmlns:xs="http://www.w3.org/2001/XMLSchema" xmlns:p="http://schemas.microsoft.com/office/2006/metadata/properties" xmlns:ns2="4730bae4-c650-436b-b0d5-b265171b7c0d" targetNamespace="http://schemas.microsoft.com/office/2006/metadata/properties" ma:root="true" ma:fieldsID="97bab7ca38206fb9a8498d8879036c97" ns2:_="">
    <xsd:import namespace="4730bae4-c650-436b-b0d5-b265171b7c0d"/>
    <xsd:element name="properties">
      <xsd:complexType>
        <xsd:sequence>
          <xsd:element name="documentManagement">
            <xsd:complexType>
              <xsd:all>
                <xsd:element ref="ns2:Ver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0bae4-c650-436b-b0d5-b265171b7c0d" elementFormDefault="qualified">
    <xsd:import namespace="http://schemas.microsoft.com/office/2006/documentManagement/types"/>
    <xsd:import namespace="http://schemas.microsoft.com/office/infopath/2007/PartnerControls"/>
    <xsd:element name="Version_x0020_Date" ma:index="5" nillable="true" ma:displayName="Version Date" ma:internalName="Version_x0020_Dat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_x0020_Date xmlns="4730bae4-c650-436b-b0d5-b265171b7c0d">07/17/24</Vers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5AB8-C6C6-4E36-B299-847A474E9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0bae4-c650-436b-b0d5-b265171b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796B0-B8EE-41FC-A1DC-D120DC77EDA1}">
  <ds:schemaRefs>
    <ds:schemaRef ds:uri="http://schemas.microsoft.com/office/2006/metadata/properties"/>
    <ds:schemaRef ds:uri="http://schemas.microsoft.com/office/infopath/2007/PartnerControls"/>
    <ds:schemaRef ds:uri="4730bae4-c650-436b-b0d5-b265171b7c0d"/>
  </ds:schemaRefs>
</ds:datastoreItem>
</file>

<file path=customXml/itemProps3.xml><?xml version="1.0" encoding="utf-8"?>
<ds:datastoreItem xmlns:ds="http://schemas.openxmlformats.org/officeDocument/2006/customXml" ds:itemID="{9C4ADCA4-2F67-4833-A23F-0AFCC596D980}">
  <ds:schemaRefs>
    <ds:schemaRef ds:uri="http://schemas.microsoft.com/sharepoint/v3/contenttype/forms"/>
  </ds:schemaRefs>
</ds:datastoreItem>
</file>

<file path=customXml/itemProps4.xml><?xml version="1.0" encoding="utf-8"?>
<ds:datastoreItem xmlns:ds="http://schemas.openxmlformats.org/officeDocument/2006/customXml" ds:itemID="{6763D97B-AA0A-4F7B-B852-5D0D05F4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describing analysis and summarizing results</vt:lpstr>
    </vt:vector>
  </TitlesOfParts>
  <Company>BPA</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describing analysis and summarizing results</dc:title>
  <dc:subject>Related Documents or Information</dc:subject>
  <dc:creator>Traetow,Emily G (BPA) - PSR-6</dc:creator>
  <cp:keywords/>
  <dc:description/>
  <cp:lastModifiedBy>Bleifuss,Lindsay A (BPA) - PSW-6</cp:lastModifiedBy>
  <cp:revision>2</cp:revision>
  <dcterms:created xsi:type="dcterms:W3CDTF">2024-07-30T15:02:00Z</dcterms:created>
  <dcterms:modified xsi:type="dcterms:W3CDTF">2024-07-30T15:02:00Z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0x0101005608A955665C7F439FC28C9483F82B7F</vt:lpwstr>
  </property>
</Properties>
</file>