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8BEA2" w14:textId="3528332D" w:rsidR="003F6B2F" w:rsidRDefault="00545C80" w:rsidP="009B339D">
      <w:pPr>
        <w:spacing w:after="0"/>
        <w:jc w:val="center"/>
      </w:pPr>
      <w:r>
        <w:t xml:space="preserve">COMMENTS OF CONSUMER-OWNED UTILITIES REGARDING </w:t>
      </w:r>
      <w:r w:rsidR="009B339D">
        <w:t xml:space="preserve">BPA’S PRELIMINARY </w:t>
      </w:r>
      <w:r w:rsidR="00BE6A13">
        <w:t>AVERAGE SYSTEM COST</w:t>
      </w:r>
      <w:r w:rsidR="009B339D">
        <w:t>S METHODOLOGY</w:t>
      </w:r>
    </w:p>
    <w:p w14:paraId="2DAA098F" w14:textId="77777777" w:rsidR="009B339D" w:rsidRDefault="009B339D" w:rsidP="009B339D">
      <w:pPr>
        <w:spacing w:after="0"/>
        <w:jc w:val="center"/>
      </w:pPr>
    </w:p>
    <w:p w14:paraId="2263EBB4" w14:textId="2A05E6CE" w:rsidR="009B339D" w:rsidRDefault="009B339D" w:rsidP="009B339D">
      <w:pPr>
        <w:spacing w:after="0"/>
        <w:jc w:val="center"/>
      </w:pPr>
      <w:r>
        <w:t xml:space="preserve">Submitted: </w:t>
      </w:r>
      <w:r w:rsidR="00B03B63">
        <w:t>January</w:t>
      </w:r>
      <w:r>
        <w:t xml:space="preserve"> </w:t>
      </w:r>
      <w:r w:rsidR="00892AF0" w:rsidRPr="00842112">
        <w:t>21</w:t>
      </w:r>
      <w:r w:rsidRPr="00842112">
        <w:t>,</w:t>
      </w:r>
      <w:r>
        <w:t xml:space="preserve"> 202</w:t>
      </w:r>
      <w:r w:rsidR="00B03B63">
        <w:t>6</w:t>
      </w:r>
    </w:p>
    <w:p w14:paraId="021D9C56" w14:textId="77777777" w:rsidR="003F6B2F" w:rsidRDefault="003F6B2F" w:rsidP="0026655F">
      <w:pPr>
        <w:spacing w:after="0"/>
      </w:pPr>
    </w:p>
    <w:p w14:paraId="765B31A8" w14:textId="69CF4A18" w:rsidR="00E00FA5" w:rsidRDefault="006220D8" w:rsidP="0026655F">
      <w:pPr>
        <w:spacing w:after="0"/>
      </w:pPr>
      <w:r>
        <w:t>PPC, NRU</w:t>
      </w:r>
      <w:r w:rsidR="00187B77">
        <w:t>, WPAG</w:t>
      </w:r>
      <w:r>
        <w:t xml:space="preserve"> and </w:t>
      </w:r>
      <w:r w:rsidR="00187B77">
        <w:t>PNGC</w:t>
      </w:r>
      <w:r>
        <w:t xml:space="preserve"> (hereafter referred to as the “the </w:t>
      </w:r>
      <w:r w:rsidR="00FD6339">
        <w:t>COUs</w:t>
      </w:r>
      <w:r>
        <w:t>”)</w:t>
      </w:r>
      <w:r w:rsidR="00FD6339">
        <w:t xml:space="preserve"> provide the following </w:t>
      </w:r>
      <w:r w:rsidR="00FF4C89">
        <w:t xml:space="preserve">comments in response to </w:t>
      </w:r>
      <w:r w:rsidR="0079115B">
        <w:t xml:space="preserve">the </w:t>
      </w:r>
      <w:r w:rsidR="008C7D9E">
        <w:t xml:space="preserve">Preliminary Draft ASCM released </w:t>
      </w:r>
      <w:r w:rsidR="0079115B">
        <w:t xml:space="preserve">by BPA on </w:t>
      </w:r>
      <w:r w:rsidR="008C7D9E">
        <w:t>December 1</w:t>
      </w:r>
      <w:r w:rsidR="0079115B">
        <w:t>0</w:t>
      </w:r>
      <w:r w:rsidR="001C1AB0">
        <w:t>.</w:t>
      </w:r>
    </w:p>
    <w:p w14:paraId="5558F03C" w14:textId="77777777" w:rsidR="00FD6339" w:rsidRDefault="00FD6339" w:rsidP="0026655F">
      <w:pPr>
        <w:spacing w:after="0"/>
      </w:pPr>
    </w:p>
    <w:p w14:paraId="7080D8E4" w14:textId="74E7EB6C" w:rsidR="00A62E1D" w:rsidRDefault="00A16515" w:rsidP="0026655F">
      <w:pPr>
        <w:spacing w:after="0"/>
      </w:pPr>
      <w:r>
        <w:t xml:space="preserve">The following comments are preliminary and may be </w:t>
      </w:r>
      <w:r w:rsidR="00ED3440">
        <w:t>updated</w:t>
      </w:r>
      <w:r w:rsidR="00D12FE5">
        <w:t>,</w:t>
      </w:r>
      <w:r w:rsidR="00ED3440">
        <w:t xml:space="preserve"> </w:t>
      </w:r>
      <w:r w:rsidR="00A62E1D">
        <w:t>revised</w:t>
      </w:r>
      <w:r w:rsidR="00D12FE5">
        <w:t>, or completely amended</w:t>
      </w:r>
      <w:r w:rsidR="00A62E1D">
        <w:t xml:space="preserve"> </w:t>
      </w:r>
      <w:r>
        <w:t>during the formal comment period.</w:t>
      </w:r>
      <w:r w:rsidR="00886EAD">
        <w:t xml:space="preserve">  </w:t>
      </w:r>
      <w:r w:rsidR="00A62E1D">
        <w:t>By not raising a specific issue</w:t>
      </w:r>
      <w:r w:rsidR="00ED3440">
        <w:t>(s)</w:t>
      </w:r>
      <w:r w:rsidR="00A62E1D">
        <w:t xml:space="preserve"> </w:t>
      </w:r>
      <w:r w:rsidR="00886EAD">
        <w:t xml:space="preserve">in these comments, </w:t>
      </w:r>
      <w:r w:rsidR="00A62E1D">
        <w:t xml:space="preserve">COUs </w:t>
      </w:r>
      <w:r w:rsidR="00A62E1D" w:rsidRPr="00A62E1D">
        <w:t xml:space="preserve">do not waive the right of all </w:t>
      </w:r>
      <w:r w:rsidR="00A62E1D">
        <w:t>C</w:t>
      </w:r>
      <w:r w:rsidR="00A62E1D" w:rsidRPr="00A62E1D">
        <w:t>OUs</w:t>
      </w:r>
      <w:r w:rsidR="00886EAD">
        <w:t xml:space="preserve"> and COU groups</w:t>
      </w:r>
      <w:r w:rsidR="00A62E1D" w:rsidRPr="00A62E1D">
        <w:t xml:space="preserve"> or any individual </w:t>
      </w:r>
      <w:r w:rsidR="00A62E1D">
        <w:t>C</w:t>
      </w:r>
      <w:r w:rsidR="00A62E1D" w:rsidRPr="00A62E1D">
        <w:t xml:space="preserve">OU </w:t>
      </w:r>
      <w:r w:rsidR="00886EAD">
        <w:t xml:space="preserve">or COU group </w:t>
      </w:r>
      <w:r w:rsidR="00A62E1D" w:rsidRPr="00A62E1D">
        <w:t xml:space="preserve">to comment on such </w:t>
      </w:r>
      <w:r w:rsidR="00ED3440">
        <w:t xml:space="preserve">issue(s) </w:t>
      </w:r>
      <w:r w:rsidR="00A62E1D" w:rsidRPr="00A62E1D">
        <w:t>in the future.</w:t>
      </w:r>
    </w:p>
    <w:p w14:paraId="26754397" w14:textId="77777777" w:rsidR="00A62E1D" w:rsidRDefault="00A62E1D" w:rsidP="0026655F">
      <w:pPr>
        <w:spacing w:after="0"/>
      </w:pPr>
    </w:p>
    <w:p w14:paraId="22132C01" w14:textId="4C40B839" w:rsidR="009E0F91" w:rsidRPr="009E0F91" w:rsidRDefault="000B3245" w:rsidP="0026655F">
      <w:pPr>
        <w:spacing w:after="0"/>
        <w:rPr>
          <w:i/>
          <w:iCs/>
        </w:rPr>
      </w:pPr>
      <w:r>
        <w:rPr>
          <w:i/>
          <w:iCs/>
        </w:rPr>
        <w:t>ASC Review Process</w:t>
      </w:r>
    </w:p>
    <w:p w14:paraId="0A34F84E" w14:textId="77777777" w:rsidR="009E0F91" w:rsidRDefault="009E0F91" w:rsidP="0026655F">
      <w:pPr>
        <w:spacing w:after="0"/>
      </w:pPr>
    </w:p>
    <w:p w14:paraId="2DABF2AE" w14:textId="7B62C0C9" w:rsidR="00496A19" w:rsidRDefault="002F4DB2" w:rsidP="0026655F">
      <w:pPr>
        <w:spacing w:after="0"/>
      </w:pPr>
      <w:r w:rsidRPr="002F4DB2">
        <w:t xml:space="preserve">To enhance transparency and ensure stakeholder engagement, BPA should incorporate into its ASC review procedures a requirement that each review process begin with a publicly noticed workshop (such as via tech forum) held at least two weeks before the review process formally begins. </w:t>
      </w:r>
      <w:r w:rsidR="00496A19" w:rsidRPr="00496A19">
        <w:t xml:space="preserve">This workshop could be modeled on the </w:t>
      </w:r>
      <w:hyperlink r:id="rId11" w:history="1">
        <w:r w:rsidR="00496A19" w:rsidRPr="006C453A">
          <w:rPr>
            <w:rStyle w:val="Hyperlink"/>
          </w:rPr>
          <w:t>workshop</w:t>
        </w:r>
      </w:hyperlink>
      <w:r w:rsidR="00496A19" w:rsidRPr="00496A19">
        <w:t xml:space="preserve"> held prior to the BP-26 ASC review but should be publicly noticed rather than invitation-only.</w:t>
      </w:r>
    </w:p>
    <w:p w14:paraId="664324A4" w14:textId="77777777" w:rsidR="00496A19" w:rsidRDefault="00496A19" w:rsidP="0026655F">
      <w:pPr>
        <w:spacing w:after="0"/>
      </w:pPr>
    </w:p>
    <w:p w14:paraId="2FA673F9" w14:textId="003F8B72" w:rsidR="0076136F" w:rsidRDefault="002F4DB2" w:rsidP="0026655F">
      <w:pPr>
        <w:spacing w:after="0"/>
      </w:pPr>
      <w:r w:rsidRPr="002F4DB2">
        <w:t xml:space="preserve">BPA should post all workshop materials online </w:t>
      </w:r>
      <w:r w:rsidR="00D12FE5">
        <w:t xml:space="preserve">at least two days </w:t>
      </w:r>
      <w:r w:rsidRPr="002F4DB2">
        <w:t xml:space="preserve">in </w:t>
      </w:r>
      <w:proofErr w:type="gramStart"/>
      <w:r w:rsidRPr="002F4DB2">
        <w:t>advance, and</w:t>
      </w:r>
      <w:proofErr w:type="gramEnd"/>
      <w:r w:rsidRPr="002F4DB2">
        <w:t xml:space="preserve"> ensure that each workshop is included </w:t>
      </w:r>
      <w:proofErr w:type="gramStart"/>
      <w:r w:rsidRPr="002F4DB2">
        <w:t>on</w:t>
      </w:r>
      <w:proofErr w:type="gramEnd"/>
      <w:r w:rsidRPr="002F4DB2">
        <w:t xml:space="preserve"> BPA’s public events calendar. Establishing this consistent, open kickoff step will provide stakeholders with early </w:t>
      </w:r>
      <w:r w:rsidR="0076136F">
        <w:t xml:space="preserve">and reliable </w:t>
      </w:r>
      <w:r w:rsidRPr="002F4DB2">
        <w:t>notice of BPA’s planned approach for the cycle and support informed participation throughout the ASC review process.</w:t>
      </w:r>
      <w:r w:rsidR="00496A19">
        <w:t xml:space="preserve">  </w:t>
      </w:r>
    </w:p>
    <w:p w14:paraId="14540927" w14:textId="77777777" w:rsidR="0076136F" w:rsidRDefault="0076136F" w:rsidP="0026655F">
      <w:pPr>
        <w:spacing w:after="0"/>
      </w:pPr>
    </w:p>
    <w:p w14:paraId="04EB4F5E" w14:textId="3F743F1C" w:rsidR="002F4DB2" w:rsidRDefault="0076136F" w:rsidP="0026655F">
      <w:pPr>
        <w:spacing w:after="0"/>
      </w:pPr>
      <w:r w:rsidRPr="0076136F">
        <w:t xml:space="preserve">This transparency is especially important because the start date of the ASC review process is not fixed and may change from cycle to cycle. A publicly noticed kickoff workshop would help ensure that all interested parties are aware of when and how the process </w:t>
      </w:r>
      <w:proofErr w:type="gramStart"/>
      <w:r w:rsidRPr="0076136F">
        <w:t>is beginning</w:t>
      </w:r>
      <w:proofErr w:type="gramEnd"/>
      <w:r>
        <w:t>.</w:t>
      </w:r>
    </w:p>
    <w:p w14:paraId="22D951C0" w14:textId="77777777" w:rsidR="00892AF0" w:rsidRDefault="00892AF0" w:rsidP="0026655F">
      <w:pPr>
        <w:spacing w:after="0"/>
        <w:rPr>
          <w:i/>
          <w:iCs/>
        </w:rPr>
      </w:pPr>
    </w:p>
    <w:p w14:paraId="7499561F" w14:textId="7CDF7004" w:rsidR="00B47B40" w:rsidRDefault="00B47B40" w:rsidP="0026655F">
      <w:pPr>
        <w:spacing w:after="0"/>
        <w:rPr>
          <w:i/>
          <w:iCs/>
        </w:rPr>
      </w:pPr>
      <w:r>
        <w:rPr>
          <w:i/>
          <w:iCs/>
        </w:rPr>
        <w:t>Energy Storage Devices</w:t>
      </w:r>
    </w:p>
    <w:p w14:paraId="58E09236" w14:textId="77777777" w:rsidR="00B47B40" w:rsidRDefault="00B47B40" w:rsidP="0026655F">
      <w:pPr>
        <w:spacing w:after="0"/>
      </w:pPr>
    </w:p>
    <w:p w14:paraId="21E89395" w14:textId="1A98FCC0" w:rsidR="00040A8E" w:rsidRDefault="00223906" w:rsidP="00C10419">
      <w:pPr>
        <w:spacing w:after="0"/>
      </w:pPr>
      <w:r>
        <w:t xml:space="preserve">We appreciate BPA’s concern that the future is largely unknown as to the ultimate application and related impact of Energy Storage Devices. As has been discussed, these </w:t>
      </w:r>
      <w:r w:rsidR="00194E1B">
        <w:t xml:space="preserve">devices </w:t>
      </w:r>
      <w:r>
        <w:t>are diverse in terms of size, duration, ramping capability, topographical location,</w:t>
      </w:r>
      <w:r w:rsidR="001A321C">
        <w:t xml:space="preserve"> functional application</w:t>
      </w:r>
      <w:r>
        <w:t xml:space="preserve"> and many other aspects which will produce a </w:t>
      </w:r>
      <w:r w:rsidR="00BD2C78">
        <w:t>wide-ranging</w:t>
      </w:r>
      <w:r>
        <w:t xml:space="preserve"> result </w:t>
      </w:r>
      <w:r w:rsidR="00941511">
        <w:lastRenderedPageBreak/>
        <w:t xml:space="preserve">within </w:t>
      </w:r>
      <w:r>
        <w:t xml:space="preserve">Production, Transmission, and Distribution functions. Furthermore, these </w:t>
      </w:r>
      <w:r w:rsidR="00194E1B">
        <w:t xml:space="preserve">devices </w:t>
      </w:r>
      <w:r>
        <w:t xml:space="preserve">can be high cost and have significant impacts on </w:t>
      </w:r>
      <w:proofErr w:type="gramStart"/>
      <w:r>
        <w:t>the ASC</w:t>
      </w:r>
      <w:proofErr w:type="gramEnd"/>
      <w:r>
        <w:t xml:space="preserve"> calculations. </w:t>
      </w:r>
    </w:p>
    <w:p w14:paraId="4DFD35EE" w14:textId="77777777" w:rsidR="00040A8E" w:rsidRDefault="00040A8E" w:rsidP="00C10419">
      <w:pPr>
        <w:spacing w:after="0"/>
      </w:pPr>
    </w:p>
    <w:p w14:paraId="3E150F0F" w14:textId="3F5760F8" w:rsidR="002B2001" w:rsidRPr="000D3CB1" w:rsidRDefault="00223906" w:rsidP="00C10419">
      <w:pPr>
        <w:spacing w:after="0"/>
      </w:pPr>
      <w:r>
        <w:t xml:space="preserve">While we </w:t>
      </w:r>
      <w:r w:rsidR="00C10419">
        <w:t xml:space="preserve">do not yet have a position on </w:t>
      </w:r>
      <w:r>
        <w:t xml:space="preserve">BPA’s proposal to leverage the PTD ratio, we are concerned that </w:t>
      </w:r>
      <w:r w:rsidR="0093505F" w:rsidRPr="0093505F">
        <w:t>reliance on this ratio may not always result in a balanced or representative allocation of Energy Storage Device costs, particularly where such resources are developed to address Transmission and/or Distribution needs. In those circumstances, it may be appropriate for BPA to consider alternative ratios that better align cost allocation with the underlying drivers of the investment, without presuming a consistently high allocation to any single functional category.</w:t>
      </w:r>
      <w:r w:rsidR="006D6A41">
        <w:t xml:space="preserve">  </w:t>
      </w:r>
    </w:p>
    <w:p w14:paraId="48C552F6" w14:textId="77777777" w:rsidR="00B47B40" w:rsidRDefault="00B47B40" w:rsidP="0026655F">
      <w:pPr>
        <w:spacing w:after="0"/>
        <w:rPr>
          <w:i/>
          <w:iCs/>
        </w:rPr>
      </w:pPr>
    </w:p>
    <w:p w14:paraId="10DBB1D4" w14:textId="0E9EA363" w:rsidR="00B47B40" w:rsidRDefault="00B47B40" w:rsidP="0026655F">
      <w:pPr>
        <w:spacing w:after="0"/>
        <w:rPr>
          <w:i/>
          <w:iCs/>
        </w:rPr>
      </w:pPr>
      <w:r>
        <w:rPr>
          <w:i/>
          <w:iCs/>
        </w:rPr>
        <w:t>New Large Single Loads</w:t>
      </w:r>
    </w:p>
    <w:p w14:paraId="0AB68093" w14:textId="335ACE0B" w:rsidR="009907A4" w:rsidRDefault="009907A4" w:rsidP="0026655F">
      <w:pPr>
        <w:spacing w:after="0"/>
      </w:pPr>
    </w:p>
    <w:p w14:paraId="5A554103" w14:textId="617D190E" w:rsidR="00F8110F" w:rsidRDefault="00F8110F" w:rsidP="00F8110F">
      <w:pPr>
        <w:spacing w:after="0"/>
      </w:pPr>
      <w:r>
        <w:t xml:space="preserve">In the 2008 ASCM, BPA adopted an approach to the requirements of </w:t>
      </w:r>
      <w:r>
        <w:rPr>
          <w:rFonts w:cs="Times New Roman"/>
        </w:rPr>
        <w:t>§</w:t>
      </w:r>
      <w:r>
        <w:t xml:space="preserve">5(c)(7)(a) that allowed participating utilities to allocate specific long-term resource costs to NLSL loads.  This allocation is important because those costs and loads are statutorily required to be excluded from the ASC calculation.  Notably, without </w:t>
      </w:r>
      <w:r>
        <w:rPr>
          <w:rFonts w:cs="Times New Roman"/>
        </w:rPr>
        <w:t>§</w:t>
      </w:r>
      <w:r>
        <w:t xml:space="preserve">5(b) Power Sales Contracts, IOUs don’t undergo formal resource dedication.  Unless an NLSL is served with NR power, no specific IOU resources are dedicated through contract to NLSL load.  Therefore, in practice, the 2008 ASCM gave IOUs discretion to structure their resource dedication within the Appendix 1 spreadsheet.  </w:t>
      </w:r>
    </w:p>
    <w:p w14:paraId="13ABE49D" w14:textId="77777777" w:rsidR="00F8110F" w:rsidRDefault="00F8110F" w:rsidP="00F8110F">
      <w:pPr>
        <w:spacing w:after="0"/>
      </w:pPr>
    </w:p>
    <w:p w14:paraId="446E0A51" w14:textId="5520DFAF" w:rsidR="00F8110F" w:rsidRDefault="00F8110F" w:rsidP="00F8110F">
      <w:pPr>
        <w:spacing w:after="0"/>
      </w:pPr>
      <w:r>
        <w:t>In the draft ASCM it became clear that IOUs could choose to dedicate lower cost resources to NLSLs to reduce their ASC, responding to this concern BPA added the NLSL exception to the final ASCM. The NLSL exception disallowed removal of NLSL load and resource costs to increase a utility’s ASC.  In BP-2</w:t>
      </w:r>
      <w:r w:rsidR="00334FBD">
        <w:t>6</w:t>
      </w:r>
      <w:r>
        <w:t xml:space="preserve">, 5 of the 6 IOU’s triggered the NLSL exception.  By doing so, IOUs ensured that the implementation of </w:t>
      </w:r>
      <w:r>
        <w:rPr>
          <w:rFonts w:cs="Times New Roman"/>
        </w:rPr>
        <w:t>§</w:t>
      </w:r>
      <w:r>
        <w:t xml:space="preserve">5(c)(7)(a) would not reduce their ASC.  </w:t>
      </w:r>
    </w:p>
    <w:p w14:paraId="4C8E9081" w14:textId="77777777" w:rsidR="00F8110F" w:rsidRDefault="00F8110F" w:rsidP="00F8110F">
      <w:pPr>
        <w:spacing w:after="0"/>
      </w:pPr>
    </w:p>
    <w:p w14:paraId="144A7EDB" w14:textId="77777777" w:rsidR="00F8110F" w:rsidRPr="000D3CB1" w:rsidRDefault="00F8110F" w:rsidP="00F8110F">
      <w:pPr>
        <w:spacing w:after="0"/>
      </w:pPr>
      <w:r>
        <w:t xml:space="preserve">For this reason, the COU’s are not opposed to BPA’s proposed approach in </w:t>
      </w:r>
      <w:r>
        <w:rPr>
          <w:rFonts w:cs="Times New Roman"/>
        </w:rPr>
        <w:t>§</w:t>
      </w:r>
      <w:r>
        <w:t xml:space="preserve">301.4.p of the preliminary draft ASCM.  Using a utility’s Base Period ASC for pre-2026 ASCM NLSLs effectively captures the </w:t>
      </w:r>
      <w:r w:rsidRPr="007A512E">
        <w:rPr>
          <w:i/>
          <w:iCs/>
        </w:rPr>
        <w:t>de facto</w:t>
      </w:r>
      <w:r>
        <w:t xml:space="preserve"> outcome of the previous approach while simplifying implementation.  Additionally, using the average cost of new resources for post-2026 ASCM NLSLs will fairly allocate the new resources costs to new loads.</w:t>
      </w:r>
    </w:p>
    <w:p w14:paraId="41F0D568" w14:textId="77777777" w:rsidR="009907A4" w:rsidRPr="007A512E" w:rsidRDefault="009907A4" w:rsidP="0026655F">
      <w:pPr>
        <w:spacing w:after="0"/>
      </w:pPr>
    </w:p>
    <w:p w14:paraId="4D89E69A" w14:textId="77777777" w:rsidR="00960F47" w:rsidRDefault="00960F47" w:rsidP="00960F47">
      <w:pPr>
        <w:spacing w:after="0"/>
        <w:rPr>
          <w:i/>
          <w:iCs/>
        </w:rPr>
      </w:pPr>
      <w:r>
        <w:rPr>
          <w:i/>
          <w:iCs/>
        </w:rPr>
        <w:t>Distribution Losses</w:t>
      </w:r>
    </w:p>
    <w:p w14:paraId="6ECDE663" w14:textId="77777777" w:rsidR="00960F47" w:rsidRDefault="00960F47" w:rsidP="0026655F">
      <w:pPr>
        <w:spacing w:after="0"/>
      </w:pPr>
    </w:p>
    <w:p w14:paraId="28CA98FC" w14:textId="1A4A1C54" w:rsidR="00BC1AF7" w:rsidRDefault="00F70140" w:rsidP="0026655F">
      <w:pPr>
        <w:spacing w:after="0"/>
      </w:pPr>
      <w:r>
        <w:t xml:space="preserve">We </w:t>
      </w:r>
      <w:r w:rsidR="00094D04">
        <w:t xml:space="preserve">are </w:t>
      </w:r>
      <w:r>
        <w:t xml:space="preserve">supportive of </w:t>
      </w:r>
      <w:r w:rsidR="00F44E3A">
        <w:t xml:space="preserve">BPA </w:t>
      </w:r>
      <w:r w:rsidR="00BC1AF7">
        <w:t xml:space="preserve">requiring </w:t>
      </w:r>
      <w:r>
        <w:t xml:space="preserve">the </w:t>
      </w:r>
      <w:r w:rsidR="00BC1AF7">
        <w:t xml:space="preserve">use of </w:t>
      </w:r>
      <w:r w:rsidR="00F44E3A">
        <w:t xml:space="preserve">a single </w:t>
      </w:r>
      <w:r w:rsidR="00D3107A">
        <w:t xml:space="preserve">method </w:t>
      </w:r>
      <w:r w:rsidR="00BC1AF7">
        <w:t xml:space="preserve">to </w:t>
      </w:r>
      <w:r w:rsidR="00D3107A">
        <w:t>calculat</w:t>
      </w:r>
      <w:r w:rsidR="00BC1AF7">
        <w:t>e</w:t>
      </w:r>
      <w:r w:rsidR="00D3107A">
        <w:t xml:space="preserve"> </w:t>
      </w:r>
      <w:r w:rsidR="00BC1AF7">
        <w:t xml:space="preserve">measured </w:t>
      </w:r>
      <w:r w:rsidR="00D3107A">
        <w:t>distribution losses.</w:t>
      </w:r>
      <w:r w:rsidR="00E82CFB">
        <w:t xml:space="preserve"> </w:t>
      </w:r>
      <w:r w:rsidR="00BE179F">
        <w:t>In the</w:t>
      </w:r>
      <w:r w:rsidR="00E82CFB">
        <w:t xml:space="preserve"> 2008 ASCM</w:t>
      </w:r>
      <w:r w:rsidR="00CB6DAF">
        <w:t>,</w:t>
      </w:r>
      <w:r w:rsidR="00BE179F">
        <w:t xml:space="preserve"> BPA</w:t>
      </w:r>
      <w:r w:rsidR="00E82CFB">
        <w:t xml:space="preserve"> created a methodological hierarchy based on whether utilities had</w:t>
      </w:r>
      <w:r w:rsidR="00CB6DAF">
        <w:t>:</w:t>
      </w:r>
      <w:r w:rsidR="00E82CFB">
        <w:t xml:space="preserve"> </w:t>
      </w:r>
      <w:r w:rsidR="00CB6DAF">
        <w:t xml:space="preserve">1) </w:t>
      </w:r>
      <w:r w:rsidR="00E82CFB">
        <w:t>recently completed a distribution loss study</w:t>
      </w:r>
      <w:r w:rsidR="00CB6DAF">
        <w:t>,</w:t>
      </w:r>
      <w:r w:rsidR="00E82CFB">
        <w:t xml:space="preserve"> or</w:t>
      </w:r>
      <w:r w:rsidR="00CB6DAF">
        <w:t>,</w:t>
      </w:r>
      <w:r w:rsidR="00BE179F">
        <w:t xml:space="preserve"> </w:t>
      </w:r>
      <w:r w:rsidR="00CB6DAF">
        <w:t>2)</w:t>
      </w:r>
      <w:r w:rsidR="00E82CFB">
        <w:t xml:space="preserve"> had sufficient </w:t>
      </w:r>
      <w:r w:rsidR="00E82CFB">
        <w:lastRenderedPageBreak/>
        <w:t>revenue grade meters</w:t>
      </w:r>
      <w:r w:rsidR="00BE179F">
        <w:t xml:space="preserve"> to measure distribution losses directly.  </w:t>
      </w:r>
      <w:r w:rsidR="00CB6DAF">
        <w:t>Utilities with neither</w:t>
      </w:r>
      <w:r w:rsidR="004D3A07">
        <w:t xml:space="preserve"> used the </w:t>
      </w:r>
      <w:r w:rsidR="00BC1AF7">
        <w:t>D</w:t>
      </w:r>
      <w:r w:rsidR="004D3A07">
        <w:t>efault method,</w:t>
      </w:r>
      <w:r w:rsidR="00CB6DAF">
        <w:t xml:space="preserve"> calculat</w:t>
      </w:r>
      <w:r w:rsidR="004D3A07">
        <w:t>ing</w:t>
      </w:r>
      <w:r w:rsidR="00CB6DAF">
        <w:t xml:space="preserve"> total system losses using 5 years of FERC Form 1 </w:t>
      </w:r>
      <w:r w:rsidR="00BC1AF7">
        <w:t>‘source’ and ‘disposition’ data.  In</w:t>
      </w:r>
      <w:r w:rsidR="00CB6DAF">
        <w:t xml:space="preserve"> BP-2</w:t>
      </w:r>
      <w:r w:rsidR="00334FBD">
        <w:t>6</w:t>
      </w:r>
      <w:r w:rsidR="00CB6DAF">
        <w:t>, the region</w:t>
      </w:r>
      <w:r w:rsidR="00BC1AF7">
        <w:t>’</w:t>
      </w:r>
      <w:r w:rsidR="00CB6DAF">
        <w:t>s 6 IOUs used at least 2 of the 3 methodological approaches</w:t>
      </w:r>
      <w:r w:rsidR="00BC1AF7">
        <w:t xml:space="preserve"> allowed under the 2008 ASCM</w:t>
      </w:r>
      <w:r w:rsidR="00CB6DAF">
        <w:t xml:space="preserve">.  </w:t>
      </w:r>
      <w:r w:rsidR="00BC1AF7">
        <w:t xml:space="preserve">This </w:t>
      </w:r>
      <w:r w:rsidR="00CB6DAF">
        <w:t xml:space="preserve">approach </w:t>
      </w:r>
      <w:r w:rsidR="00E82CFB">
        <w:t>allow</w:t>
      </w:r>
      <w:r w:rsidR="00BE179F">
        <w:t>ed</w:t>
      </w:r>
      <w:r w:rsidR="00E82CFB">
        <w:t xml:space="preserve"> utilities to undergo studies </w:t>
      </w:r>
      <w:r w:rsidR="00BE179F">
        <w:t xml:space="preserve">or meter upgrades </w:t>
      </w:r>
      <w:r w:rsidR="00E82CFB">
        <w:t xml:space="preserve">with the </w:t>
      </w:r>
      <w:r w:rsidR="00BE179F">
        <w:t>outcome</w:t>
      </w:r>
      <w:r w:rsidR="00E82CFB">
        <w:t xml:space="preserve"> </w:t>
      </w:r>
      <w:r w:rsidR="004D3A07">
        <w:t>being a</w:t>
      </w:r>
      <w:r w:rsidR="00E82CFB">
        <w:t xml:space="preserve"> </w:t>
      </w:r>
      <w:r w:rsidR="004D3A07">
        <w:t>material change to their</w:t>
      </w:r>
      <w:r w:rsidR="00BE179F">
        <w:t xml:space="preserve"> measured</w:t>
      </w:r>
      <w:r w:rsidR="00E82CFB">
        <w:t xml:space="preserve"> distribution loss facto</w:t>
      </w:r>
      <w:r w:rsidR="00BE179F">
        <w:t>r</w:t>
      </w:r>
      <w:r w:rsidR="00E82CFB">
        <w:t>.</w:t>
      </w:r>
      <w:r w:rsidR="00BE179F">
        <w:t xml:space="preserve">  </w:t>
      </w:r>
      <w:r w:rsidR="00BC1AF7">
        <w:t>Using</w:t>
      </w:r>
      <w:r w:rsidR="00D3107A">
        <w:t xml:space="preserve"> </w:t>
      </w:r>
      <w:r w:rsidR="00BC1AF7">
        <w:t>a single approach in the 2026 ASCM is a sure-fire way to</w:t>
      </w:r>
      <w:r w:rsidR="00BE179F">
        <w:t xml:space="preserve"> </w:t>
      </w:r>
      <w:r w:rsidR="00D3107A">
        <w:t>avoid cherry</w:t>
      </w:r>
      <w:r w:rsidR="006E3163">
        <w:t>-picking</w:t>
      </w:r>
      <w:r w:rsidR="004D3A07">
        <w:t>.</w:t>
      </w:r>
      <w:r w:rsidR="00BD2C78">
        <w:t xml:space="preserve">  </w:t>
      </w:r>
      <w:r w:rsidR="004D3A07">
        <w:t>H</w:t>
      </w:r>
      <w:r w:rsidR="00CB6DAF">
        <w:t xml:space="preserve">owever, </w:t>
      </w:r>
      <w:r w:rsidR="00BC1AF7">
        <w:t xml:space="preserve">without more information, we are unable to affirmatively support BPA’s proposed methodology </w:t>
      </w:r>
      <w:r w:rsidR="00BD2C78">
        <w:t>as preferable to alternatives.</w:t>
      </w:r>
    </w:p>
    <w:p w14:paraId="6075DCEA" w14:textId="77777777" w:rsidR="00BE179F" w:rsidRDefault="00BE179F" w:rsidP="0026655F">
      <w:pPr>
        <w:spacing w:after="0"/>
        <w:rPr>
          <w:i/>
          <w:iCs/>
        </w:rPr>
      </w:pPr>
    </w:p>
    <w:p w14:paraId="28E1313E" w14:textId="4B1EC5BB" w:rsidR="009907A4" w:rsidRDefault="009907A4" w:rsidP="0026655F">
      <w:pPr>
        <w:spacing w:after="0"/>
        <w:rPr>
          <w:i/>
          <w:iCs/>
        </w:rPr>
      </w:pPr>
      <w:r w:rsidRPr="00E8347A">
        <w:rPr>
          <w:i/>
          <w:iCs/>
        </w:rPr>
        <w:t>Transmission</w:t>
      </w:r>
    </w:p>
    <w:p w14:paraId="7B3B4EB7" w14:textId="77777777" w:rsidR="00B47B40" w:rsidRDefault="00B47B40" w:rsidP="0026655F">
      <w:pPr>
        <w:spacing w:after="0"/>
      </w:pPr>
    </w:p>
    <w:p w14:paraId="3303D847" w14:textId="7D36B989" w:rsidR="0067184B" w:rsidRDefault="00094D04" w:rsidP="00B76E53">
      <w:pPr>
        <w:spacing w:after="0"/>
      </w:pPr>
      <w:r>
        <w:t>We are</w:t>
      </w:r>
      <w:r w:rsidR="00BC03F1">
        <w:t xml:space="preserve"> </w:t>
      </w:r>
      <w:r w:rsidR="000A28BF">
        <w:t>supportive of</w:t>
      </w:r>
      <w:r w:rsidR="00A560BD">
        <w:t xml:space="preserve"> </w:t>
      </w:r>
      <w:r w:rsidR="00B76E53">
        <w:t>BPA’s proposal to remove all transmission costs from the ASC except for those which are</w:t>
      </w:r>
      <w:r w:rsidR="003C049E">
        <w:t xml:space="preserve"> </w:t>
      </w:r>
      <w:r>
        <w:t xml:space="preserve">in principle as near to </w:t>
      </w:r>
      <w:r w:rsidR="00B76E53">
        <w:t>the transmission costs included in the PF rate</w:t>
      </w:r>
      <w:r>
        <w:t xml:space="preserve"> as possible</w:t>
      </w:r>
      <w:r w:rsidR="00B76E53">
        <w:t>.</w:t>
      </w:r>
      <w:r w:rsidR="00BD39AD">
        <w:t xml:space="preserve">  However, </w:t>
      </w:r>
      <w:r w:rsidR="00713DE7">
        <w:t xml:space="preserve">there are outstanding questions </w:t>
      </w:r>
      <w:r w:rsidR="00823403">
        <w:t xml:space="preserve">as to </w:t>
      </w:r>
      <w:r w:rsidR="005C5D1B">
        <w:t>whether</w:t>
      </w:r>
      <w:r w:rsidR="00823403">
        <w:t xml:space="preserve"> </w:t>
      </w:r>
      <w:r w:rsidR="00D12FE5">
        <w:t xml:space="preserve">BPA’s ASCM proposal implements the </w:t>
      </w:r>
      <w:r w:rsidR="004E695A">
        <w:t xml:space="preserve">“like for like” </w:t>
      </w:r>
      <w:r w:rsidR="00823403">
        <w:t>principle fairly</w:t>
      </w:r>
      <w:r>
        <w:t>, how differences between the approaches can be mitigated over time,</w:t>
      </w:r>
      <w:r w:rsidR="00823403">
        <w:t xml:space="preserve"> </w:t>
      </w:r>
      <w:r w:rsidR="00351B42">
        <w:t>and</w:t>
      </w:r>
      <w:r w:rsidR="008D4460">
        <w:t xml:space="preserve"> whether </w:t>
      </w:r>
      <w:r w:rsidR="00B821E5">
        <w:t xml:space="preserve">the </w:t>
      </w:r>
      <w:r w:rsidR="005C3123">
        <w:t>transmission costs</w:t>
      </w:r>
      <w:r w:rsidR="00B821E5">
        <w:t xml:space="preserve"> IOUs are including in their </w:t>
      </w:r>
      <w:r w:rsidR="00EB6FB9">
        <w:t>filings are transparent</w:t>
      </w:r>
      <w:r>
        <w:t xml:space="preserve"> and verifiable</w:t>
      </w:r>
      <w:r w:rsidR="00713DE7">
        <w:t xml:space="preserve">.  </w:t>
      </w:r>
      <w:r w:rsidR="0067184B">
        <w:br/>
      </w:r>
    </w:p>
    <w:p w14:paraId="64D737B2" w14:textId="3778A718" w:rsidR="00AD1464" w:rsidRDefault="00713DE7" w:rsidP="00B76E53">
      <w:pPr>
        <w:spacing w:after="0"/>
      </w:pPr>
      <w:r>
        <w:t>First,</w:t>
      </w:r>
      <w:r w:rsidR="009E47B7">
        <w:t xml:space="preserve"> </w:t>
      </w:r>
      <w:r w:rsidR="00A33C72">
        <w:t xml:space="preserve">functionalizing all of </w:t>
      </w:r>
      <w:r w:rsidR="009E47B7">
        <w:t>Account 565</w:t>
      </w:r>
      <w:r w:rsidR="00610DDA">
        <w:t xml:space="preserve"> “Transmission of Electricity by Others (Wheeling)”</w:t>
      </w:r>
      <w:r w:rsidR="009E47B7">
        <w:t xml:space="preserve"> </w:t>
      </w:r>
      <w:r w:rsidR="00A33C72">
        <w:t xml:space="preserve">to Production </w:t>
      </w:r>
      <w:r w:rsidR="004654A4">
        <w:t xml:space="preserve">expands upon BPA’s </w:t>
      </w:r>
      <w:r w:rsidR="00BE09D9">
        <w:t xml:space="preserve">proposed </w:t>
      </w:r>
      <w:r w:rsidR="00D12FE5">
        <w:t>“</w:t>
      </w:r>
      <w:r w:rsidR="00BE09D9">
        <w:t>like</w:t>
      </w:r>
      <w:r w:rsidR="004436E3">
        <w:t xml:space="preserve"> </w:t>
      </w:r>
      <w:r w:rsidR="00BE09D9">
        <w:t>for</w:t>
      </w:r>
      <w:r w:rsidR="004436E3">
        <w:t xml:space="preserve"> </w:t>
      </w:r>
      <w:r w:rsidR="00BE09D9">
        <w:t xml:space="preserve">like” </w:t>
      </w:r>
      <w:r w:rsidR="004654A4">
        <w:t>treatment</w:t>
      </w:r>
      <w:r w:rsidR="000106AA">
        <w:t xml:space="preserve"> </w:t>
      </w:r>
      <w:r w:rsidR="00BA6133">
        <w:t>by</w:t>
      </w:r>
      <w:r w:rsidR="000106AA">
        <w:t xml:space="preserve"> includ</w:t>
      </w:r>
      <w:r w:rsidR="00BA6133">
        <w:t>ing</w:t>
      </w:r>
      <w:r w:rsidR="000106AA">
        <w:t xml:space="preserve"> all legs</w:t>
      </w:r>
      <w:r w:rsidR="00F564A4">
        <w:t xml:space="preserve"> for all resources and use cases</w:t>
      </w:r>
      <w:r w:rsidR="00AD1464">
        <w:t>.</w:t>
      </w:r>
      <w:r w:rsidR="00655B0F">
        <w:t xml:space="preserve">  </w:t>
      </w:r>
      <w:r w:rsidR="00AD1464">
        <w:t xml:space="preserve">For </w:t>
      </w:r>
      <w:r w:rsidR="00FA1503">
        <w:t>preference customers</w:t>
      </w:r>
      <w:r w:rsidR="00313485">
        <w:t>,</w:t>
      </w:r>
      <w:r w:rsidR="00FA1503">
        <w:t xml:space="preserve"> BPA’s POC contrac</w:t>
      </w:r>
      <w:r w:rsidR="00F26028">
        <w:t xml:space="preserve">t only </w:t>
      </w:r>
      <w:r w:rsidR="004A1141">
        <w:t>embeds</w:t>
      </w:r>
      <w:r w:rsidR="00C077B2">
        <w:t xml:space="preserve"> </w:t>
      </w:r>
      <w:r w:rsidR="00414168">
        <w:t xml:space="preserve">the </w:t>
      </w:r>
      <w:r w:rsidR="000B5032">
        <w:t>cost</w:t>
      </w:r>
      <w:r w:rsidR="00414168">
        <w:t xml:space="preserve"> of</w:t>
      </w:r>
      <w:r w:rsidR="00F26028">
        <w:t xml:space="preserve"> the last leg </w:t>
      </w:r>
      <w:r w:rsidR="00C077B2">
        <w:t>of transfer service</w:t>
      </w:r>
      <w:r w:rsidR="004A1141" w:rsidRPr="004A1141">
        <w:t xml:space="preserve"> </w:t>
      </w:r>
      <w:r w:rsidR="004A1141">
        <w:t>for non-federal resources serving net requirements load</w:t>
      </w:r>
      <w:r w:rsidR="00414168">
        <w:t xml:space="preserve"> in </w:t>
      </w:r>
      <w:r w:rsidR="0039385E">
        <w:t>wholesale power</w:t>
      </w:r>
      <w:r w:rsidR="000B5032">
        <w:t xml:space="preserve"> rates.</w:t>
      </w:r>
      <w:r w:rsidR="00D12FE5">
        <w:t xml:space="preserve">  BPA’s ASCM should likewise only include the last leg of transmission wheeling.</w:t>
      </w:r>
    </w:p>
    <w:p w14:paraId="16101606" w14:textId="77777777" w:rsidR="006D51D2" w:rsidRDefault="006D51D2" w:rsidP="0026655F">
      <w:pPr>
        <w:spacing w:after="0"/>
        <w:rPr>
          <w:i/>
          <w:iCs/>
        </w:rPr>
      </w:pPr>
    </w:p>
    <w:p w14:paraId="7F11BDD6" w14:textId="77777777" w:rsidR="00F8110F" w:rsidRDefault="00AB28A1" w:rsidP="00F8110F">
      <w:pPr>
        <w:spacing w:after="0"/>
      </w:pPr>
      <w:r w:rsidRPr="00AB28A1">
        <w:t xml:space="preserve">Second, </w:t>
      </w:r>
      <w:r w:rsidR="00CB0476">
        <w:t xml:space="preserve">Account </w:t>
      </w:r>
      <w:r w:rsidR="00151719">
        <w:t xml:space="preserve">447 is </w:t>
      </w:r>
      <w:r w:rsidR="003A38DF">
        <w:t xml:space="preserve">the </w:t>
      </w:r>
      <w:r w:rsidR="002C22B6">
        <w:t xml:space="preserve">FERC account where </w:t>
      </w:r>
      <w:r w:rsidR="00270A98">
        <w:t>IOU’s</w:t>
      </w:r>
      <w:r w:rsidR="00151719">
        <w:t xml:space="preserve"> </w:t>
      </w:r>
      <w:r w:rsidR="0070542F">
        <w:t xml:space="preserve">account for the credits they receive from </w:t>
      </w:r>
      <w:r w:rsidR="00151719">
        <w:t>wholesale power sales to other utilities</w:t>
      </w:r>
      <w:r w:rsidR="009F6914">
        <w:t>.</w:t>
      </w:r>
      <w:r w:rsidR="00F8110F">
        <w:t xml:space="preserve">   The FERC Uniform System of Accounts describes it as follows:    </w:t>
      </w:r>
    </w:p>
    <w:p w14:paraId="408F0272" w14:textId="66ACACB5" w:rsidR="00E50111" w:rsidRDefault="009F74A2" w:rsidP="0026655F">
      <w:pPr>
        <w:spacing w:after="0"/>
      </w:pPr>
      <w:r>
        <w:t xml:space="preserve">  </w:t>
      </w:r>
      <w:r w:rsidR="0070542F">
        <w:t xml:space="preserve">  </w:t>
      </w:r>
    </w:p>
    <w:p w14:paraId="27711890" w14:textId="77777777" w:rsidR="00E50111" w:rsidRDefault="00E50111" w:rsidP="0026655F">
      <w:pPr>
        <w:spacing w:after="0"/>
      </w:pPr>
    </w:p>
    <w:p w14:paraId="2DAAC96C" w14:textId="0E0C948F" w:rsidR="0099484A" w:rsidRDefault="00624123" w:rsidP="0099484A">
      <w:pPr>
        <w:spacing w:after="0"/>
        <w:jc w:val="center"/>
      </w:pPr>
      <w:r>
        <w:rPr>
          <w:noProof/>
        </w:rPr>
        <w:lastRenderedPageBreak/>
        <w:drawing>
          <wp:inline distT="0" distB="0" distL="0" distR="0" wp14:anchorId="13ABEDE5" wp14:editId="0CC1E185">
            <wp:extent cx="3048000" cy="2672536"/>
            <wp:effectExtent l="0" t="0" r="0" b="0"/>
            <wp:docPr id="128382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82835" name=""/>
                    <pic:cNvPicPr/>
                  </pic:nvPicPr>
                  <pic:blipFill>
                    <a:blip r:embed="rId12"/>
                    <a:stretch>
                      <a:fillRect/>
                    </a:stretch>
                  </pic:blipFill>
                  <pic:spPr>
                    <a:xfrm>
                      <a:off x="0" y="0"/>
                      <a:ext cx="3062498" cy="2685248"/>
                    </a:xfrm>
                    <a:prstGeom prst="rect">
                      <a:avLst/>
                    </a:prstGeom>
                  </pic:spPr>
                </pic:pic>
              </a:graphicData>
            </a:graphic>
          </wp:inline>
        </w:drawing>
      </w:r>
    </w:p>
    <w:p w14:paraId="2BE7A6A7" w14:textId="6FC8A070" w:rsidR="0099484A" w:rsidRDefault="0099484A" w:rsidP="0026655F">
      <w:pPr>
        <w:spacing w:after="0"/>
      </w:pPr>
    </w:p>
    <w:p w14:paraId="676F11F9" w14:textId="199DD92D" w:rsidR="00D27C31" w:rsidRDefault="00476362" w:rsidP="0026655F">
      <w:pPr>
        <w:spacing w:after="0"/>
      </w:pPr>
      <w:r>
        <w:t>Unfortunately</w:t>
      </w:r>
      <w:r w:rsidR="003E2B44">
        <w:t>,</w:t>
      </w:r>
      <w:r>
        <w:t xml:space="preserve"> </w:t>
      </w:r>
      <w:r w:rsidR="002B0377">
        <w:t xml:space="preserve">we understand </w:t>
      </w:r>
      <w:r w:rsidR="00AA273E">
        <w:t xml:space="preserve">that </w:t>
      </w:r>
      <w:r w:rsidR="002B0377">
        <w:t>IOUs</w:t>
      </w:r>
      <w:r w:rsidR="00DF585E">
        <w:t xml:space="preserve"> </w:t>
      </w:r>
      <w:r w:rsidR="00202626">
        <w:t xml:space="preserve">book considerable </w:t>
      </w:r>
      <w:r w:rsidR="00300044">
        <w:t xml:space="preserve">transmission costs in this account </w:t>
      </w:r>
      <w:r w:rsidR="00D76ACA">
        <w:t>as well</w:t>
      </w:r>
      <w:r w:rsidR="001A2A42">
        <w:t>; and b</w:t>
      </w:r>
      <w:r w:rsidR="00AF08C1">
        <w:t>ecause th</w:t>
      </w:r>
      <w:r w:rsidR="009A7B04">
        <w:t xml:space="preserve">e income from </w:t>
      </w:r>
      <w:r w:rsidR="008B66E7">
        <w:t xml:space="preserve">these </w:t>
      </w:r>
      <w:r w:rsidR="009A7B04">
        <w:t xml:space="preserve">power sales </w:t>
      </w:r>
      <w:r w:rsidR="00D863AD">
        <w:t xml:space="preserve">far outstrips </w:t>
      </w:r>
      <w:r w:rsidR="009A7B04">
        <w:t>the transmission costs</w:t>
      </w:r>
      <w:r w:rsidR="001A2A42">
        <w:t xml:space="preserve"> associated with </w:t>
      </w:r>
      <w:r w:rsidR="00040939">
        <w:t xml:space="preserve">their delivery, </w:t>
      </w:r>
      <w:r w:rsidR="00C66CE4">
        <w:t>A</w:t>
      </w:r>
      <w:r w:rsidR="008B66E7">
        <w:t xml:space="preserve">ccount 447 appears in utilities FERC </w:t>
      </w:r>
      <w:r w:rsidR="00C66CE4">
        <w:t>Form 1 as a large credit</w:t>
      </w:r>
      <w:r w:rsidR="00850F07">
        <w:t>.</w:t>
      </w:r>
      <w:r w:rsidR="00B44CB4">
        <w:t xml:space="preserve">  </w:t>
      </w:r>
      <w:r w:rsidR="00845E31">
        <w:t xml:space="preserve">BPA </w:t>
      </w:r>
      <w:r w:rsidR="00756180">
        <w:t>proposes</w:t>
      </w:r>
      <w:r w:rsidR="00845E31">
        <w:t xml:space="preserve"> to include </w:t>
      </w:r>
      <w:r w:rsidR="002744BF">
        <w:t>this entire account i</w:t>
      </w:r>
      <w:r w:rsidR="00845E31">
        <w:t xml:space="preserve">n IOU’s </w:t>
      </w:r>
      <w:r w:rsidR="00EE07AE">
        <w:t>ASCs</w:t>
      </w:r>
      <w:r w:rsidR="0014643B">
        <w:t xml:space="preserve"> despite COU’s hav</w:t>
      </w:r>
      <w:r w:rsidR="008F081D">
        <w:t>ing</w:t>
      </w:r>
      <w:r w:rsidR="0014643B">
        <w:t xml:space="preserve"> no transparency into the magnitude of these costs.</w:t>
      </w:r>
      <w:r w:rsidR="00275EB9">
        <w:t xml:space="preserve">  </w:t>
      </w:r>
    </w:p>
    <w:p w14:paraId="0DC33249" w14:textId="77777777" w:rsidR="002B66D9" w:rsidRDefault="002B66D9" w:rsidP="0026655F">
      <w:pPr>
        <w:spacing w:after="0"/>
      </w:pPr>
    </w:p>
    <w:p w14:paraId="01A1F1F1" w14:textId="75E0D651" w:rsidR="00AB28A1" w:rsidRPr="0009582E" w:rsidRDefault="00363402" w:rsidP="0026655F">
      <w:pPr>
        <w:spacing w:after="0"/>
      </w:pPr>
      <w:r>
        <w:t>By contrast</w:t>
      </w:r>
      <w:r w:rsidR="00847661">
        <w:t>,</w:t>
      </w:r>
      <w:r w:rsidR="00225A93">
        <w:t xml:space="preserve"> </w:t>
      </w:r>
      <w:r>
        <w:t xml:space="preserve">where </w:t>
      </w:r>
      <w:r w:rsidR="00225A93">
        <w:t xml:space="preserve">IOUs book </w:t>
      </w:r>
      <w:r w:rsidR="00E81B3B">
        <w:t>additional</w:t>
      </w:r>
      <w:r w:rsidR="00225A93">
        <w:t xml:space="preserve"> </w:t>
      </w:r>
      <w:r w:rsidR="00654D0F">
        <w:t xml:space="preserve">market-related </w:t>
      </w:r>
      <w:r w:rsidR="00225A93">
        <w:t xml:space="preserve">transmission costs elsewhere, the preliminary draft </w:t>
      </w:r>
      <w:r w:rsidR="00495363">
        <w:t xml:space="preserve">requires </w:t>
      </w:r>
      <w:r>
        <w:t xml:space="preserve">those costs to be separately identified and supported through </w:t>
      </w:r>
      <w:r w:rsidR="00495363">
        <w:t>documentation</w:t>
      </w:r>
      <w:r w:rsidR="00B25E32">
        <w:t xml:space="preserve">.  </w:t>
      </w:r>
      <w:r w:rsidR="00F54BC9">
        <w:t xml:space="preserve">COUs </w:t>
      </w:r>
      <w:r>
        <w:t xml:space="preserve">request that IOUs be required to provide comparable documentation for any transmission-related costs embedded </w:t>
      </w:r>
      <w:r w:rsidR="00F53BB9">
        <w:t>in Account 447</w:t>
      </w:r>
      <w:r>
        <w:t xml:space="preserve">, as this transparency is necessary to determine whether </w:t>
      </w:r>
      <w:proofErr w:type="gramStart"/>
      <w:r>
        <w:t>BPA’s</w:t>
      </w:r>
      <w:proofErr w:type="gramEnd"/>
      <w:r>
        <w:t xml:space="preserve"> proposed “like</w:t>
      </w:r>
      <w:r w:rsidR="002B66D9">
        <w:t xml:space="preserve">-for-like” transmission treatment is being applied consistently and without inflating IOU ASCs </w:t>
      </w:r>
      <w:r w:rsidR="00382AD4">
        <w:t xml:space="preserve"> </w:t>
      </w:r>
      <w:r w:rsidR="00C861D7">
        <w:t xml:space="preserve"> </w:t>
      </w:r>
    </w:p>
    <w:p w14:paraId="7DF25892" w14:textId="77777777" w:rsidR="00AB28A1" w:rsidRPr="0009582E" w:rsidRDefault="00AB28A1" w:rsidP="0026655F">
      <w:pPr>
        <w:spacing w:after="0"/>
      </w:pPr>
    </w:p>
    <w:p w14:paraId="7F11A33C" w14:textId="4278BDF9" w:rsidR="006D51D2" w:rsidRDefault="006D51D2" w:rsidP="0026655F">
      <w:pPr>
        <w:spacing w:after="0"/>
        <w:rPr>
          <w:i/>
          <w:iCs/>
        </w:rPr>
      </w:pPr>
      <w:r w:rsidRPr="00292BEB">
        <w:rPr>
          <w:i/>
          <w:iCs/>
        </w:rPr>
        <w:t>ASC Consultation</w:t>
      </w:r>
    </w:p>
    <w:p w14:paraId="466FB5F2" w14:textId="77777777" w:rsidR="006D51D2" w:rsidRDefault="006D51D2" w:rsidP="0026655F">
      <w:pPr>
        <w:spacing w:after="0"/>
      </w:pPr>
    </w:p>
    <w:p w14:paraId="4CA6BA50" w14:textId="6879DF37" w:rsidR="00867060" w:rsidRDefault="00496AF2" w:rsidP="0026655F">
      <w:pPr>
        <w:spacing w:after="0"/>
      </w:pPr>
      <w:r>
        <w:t>The COUs oppos</w:t>
      </w:r>
      <w:r w:rsidR="00A13D3F">
        <w:t xml:space="preserve">e </w:t>
      </w:r>
      <w:r w:rsidR="00B22C5B">
        <w:t xml:space="preserve">BPA’s </w:t>
      </w:r>
      <w:r w:rsidR="00A13D3F">
        <w:t xml:space="preserve">proposed rewrite </w:t>
      </w:r>
      <w:r w:rsidR="00687FAF">
        <w:t xml:space="preserve">section </w:t>
      </w:r>
      <w:r w:rsidR="00A13D3F">
        <w:t>301.6.</w:t>
      </w:r>
      <w:r w:rsidR="00D12FE5">
        <w:t xml:space="preserve"> to</w:t>
      </w:r>
      <w:r w:rsidR="00057E38">
        <w:t xml:space="preserve"> exclude </w:t>
      </w:r>
      <w:r w:rsidR="00A710FF">
        <w:t>customer groups</w:t>
      </w:r>
      <w:r w:rsidR="009F7506">
        <w:t xml:space="preserve"> – </w:t>
      </w:r>
      <w:r w:rsidR="00A710FF">
        <w:t>COUs and IOUs</w:t>
      </w:r>
      <w:r w:rsidR="009F7506">
        <w:t xml:space="preserve"> –</w:t>
      </w:r>
      <w:r w:rsidR="00A710FF">
        <w:t xml:space="preserve"> from </w:t>
      </w:r>
      <w:r w:rsidR="009F7506">
        <w:t xml:space="preserve">initiating a 5(c)(7) consultation process.  </w:t>
      </w:r>
      <w:r w:rsidR="00D12FE5">
        <w:t xml:space="preserve">The </w:t>
      </w:r>
      <w:r w:rsidR="000C38E2">
        <w:t xml:space="preserve">COUs strongly </w:t>
      </w:r>
      <w:r w:rsidR="00B77744">
        <w:t>recommend</w:t>
      </w:r>
      <w:r w:rsidR="000C38E2">
        <w:t xml:space="preserve"> </w:t>
      </w:r>
      <w:r w:rsidR="000E7BE0">
        <w:t xml:space="preserve">that </w:t>
      </w:r>
      <w:r w:rsidR="000C38E2">
        <w:t xml:space="preserve">BPA maintain the </w:t>
      </w:r>
      <w:r w:rsidR="00990B39">
        <w:t>language from the 2008 ASCM</w:t>
      </w:r>
      <w:r w:rsidR="004038C7">
        <w:t xml:space="preserve">.  Given that BPA will, at most, have a single 16 </w:t>
      </w:r>
      <w:proofErr w:type="spellStart"/>
      <w:r w:rsidR="004038C7">
        <w:t>aMW</w:t>
      </w:r>
      <w:proofErr w:type="spellEnd"/>
      <w:r w:rsidR="004038C7">
        <w:t xml:space="preserve"> DSI customer during Post-2028 </w:t>
      </w:r>
      <w:proofErr w:type="gramStart"/>
      <w:r w:rsidR="004038C7">
        <w:t>REP</w:t>
      </w:r>
      <w:proofErr w:type="gramEnd"/>
      <w:r w:rsidR="004038C7">
        <w:t xml:space="preserve"> </w:t>
      </w:r>
      <w:r w:rsidR="00990B39">
        <w:t xml:space="preserve">we </w:t>
      </w:r>
      <w:r w:rsidR="00D12FE5">
        <w:t>offer no opinion on BPA’s proposed removal of the</w:t>
      </w:r>
      <w:r w:rsidR="00990B39">
        <w:t xml:space="preserve"> DS</w:t>
      </w:r>
      <w:r w:rsidR="00136CB7">
        <w:t>I customer group</w:t>
      </w:r>
      <w:r w:rsidR="00A5783E">
        <w:t>.</w:t>
      </w:r>
      <w:r w:rsidR="00AF710D">
        <w:t xml:space="preserve">  </w:t>
      </w:r>
      <w:r w:rsidR="00A33096">
        <w:t xml:space="preserve">Furthermore, and </w:t>
      </w:r>
      <w:r w:rsidR="003C576E">
        <w:t>acknowledging</w:t>
      </w:r>
      <w:r w:rsidR="00867060">
        <w:t xml:space="preserve"> that </w:t>
      </w:r>
      <w:r w:rsidR="00123E65">
        <w:t xml:space="preserve">Port Townsend </w:t>
      </w:r>
      <w:r w:rsidR="00FD3825">
        <w:t>and</w:t>
      </w:r>
      <w:r w:rsidR="00867060">
        <w:t xml:space="preserve"> </w:t>
      </w:r>
      <w:r w:rsidR="00897579">
        <w:t>current/future</w:t>
      </w:r>
      <w:r w:rsidR="00867060">
        <w:t xml:space="preserve"> NLSL’s </w:t>
      </w:r>
      <w:r w:rsidR="003C576E">
        <w:t>may have their own perspectives</w:t>
      </w:r>
      <w:r w:rsidR="00BF236D">
        <w:t xml:space="preserve">, we generally believe that </w:t>
      </w:r>
      <w:r w:rsidR="00A91C0D">
        <w:t xml:space="preserve">REP payers </w:t>
      </w:r>
      <w:r w:rsidR="00047C99">
        <w:t>regardless of customer class would have similar incentives around consultation reinitiation.</w:t>
      </w:r>
    </w:p>
    <w:p w14:paraId="4065C3BA" w14:textId="77777777" w:rsidR="00990B39" w:rsidRPr="00990B39" w:rsidRDefault="00990B39" w:rsidP="0026655F">
      <w:pPr>
        <w:spacing w:after="0"/>
      </w:pPr>
    </w:p>
    <w:p w14:paraId="5E42D82F" w14:textId="2D47AF47" w:rsidR="00E00FA5" w:rsidRPr="00E00FA5" w:rsidRDefault="00E00FA5" w:rsidP="0026655F">
      <w:pPr>
        <w:spacing w:after="0"/>
        <w:rPr>
          <w:i/>
          <w:iCs/>
        </w:rPr>
      </w:pPr>
      <w:r w:rsidRPr="00E00FA5">
        <w:rPr>
          <w:i/>
          <w:iCs/>
        </w:rPr>
        <w:t>Variance Analysis</w:t>
      </w:r>
    </w:p>
    <w:p w14:paraId="40D08A7A" w14:textId="77777777" w:rsidR="0026655F" w:rsidRDefault="0026655F" w:rsidP="0026655F">
      <w:pPr>
        <w:spacing w:after="0"/>
      </w:pPr>
    </w:p>
    <w:p w14:paraId="409594A0" w14:textId="6BF72016" w:rsidR="00250B3E" w:rsidRDefault="00F32D2D" w:rsidP="0026655F">
      <w:pPr>
        <w:spacing w:after="0"/>
      </w:pPr>
      <w:r>
        <w:lastRenderedPageBreak/>
        <w:t>Utility r</w:t>
      </w:r>
      <w:r w:rsidR="00B95570">
        <w:t xml:space="preserve">egulators </w:t>
      </w:r>
      <w:r w:rsidR="00413DB7">
        <w:t xml:space="preserve">commonly </w:t>
      </w:r>
      <w:r w:rsidR="00B95570">
        <w:t>use</w:t>
      </w:r>
      <w:r w:rsidR="00413DB7">
        <w:t xml:space="preserve"> variance analysis</w:t>
      </w:r>
      <w:r w:rsidR="00B95570">
        <w:t xml:space="preserve"> </w:t>
      </w:r>
      <w:r>
        <w:t xml:space="preserve">to flag </w:t>
      </w:r>
      <w:r w:rsidR="00FB1278">
        <w:t xml:space="preserve">individual </w:t>
      </w:r>
      <w:r>
        <w:t xml:space="preserve">FERC accounts </w:t>
      </w:r>
      <w:r w:rsidR="00B75843">
        <w:t>that</w:t>
      </w:r>
      <w:r>
        <w:t xml:space="preserve"> </w:t>
      </w:r>
      <w:r w:rsidR="00B75843">
        <w:t xml:space="preserve">meaningfully </w:t>
      </w:r>
      <w:r>
        <w:t xml:space="preserve">deviate from </w:t>
      </w:r>
      <w:r w:rsidR="00B75843">
        <w:t>past</w:t>
      </w:r>
      <w:r>
        <w:t xml:space="preserve"> years</w:t>
      </w:r>
      <w:r w:rsidR="00B75843">
        <w:t xml:space="preserve"> for further review</w:t>
      </w:r>
      <w:r>
        <w:t>.</w:t>
      </w:r>
      <w:r w:rsidR="001A16C4">
        <w:t xml:space="preserve">  R</w:t>
      </w:r>
      <w:r w:rsidR="0035729A">
        <w:t xml:space="preserve">equiring variance analysis </w:t>
      </w:r>
      <w:r w:rsidR="00FC609F">
        <w:t>on</w:t>
      </w:r>
      <w:r w:rsidR="002B5954">
        <w:t xml:space="preserve"> </w:t>
      </w:r>
      <w:r w:rsidR="0035729A">
        <w:t xml:space="preserve"> </w:t>
      </w:r>
      <w:r w:rsidR="00FC609F">
        <w:t xml:space="preserve">all </w:t>
      </w:r>
      <w:r w:rsidR="0035729A">
        <w:t xml:space="preserve">Appendix 1 inputs </w:t>
      </w:r>
      <w:r w:rsidR="00EE2BBE">
        <w:t xml:space="preserve">will similarly support </w:t>
      </w:r>
      <w:r w:rsidR="005A479A">
        <w:t xml:space="preserve">BPA’s </w:t>
      </w:r>
      <w:r w:rsidR="001A16C4">
        <w:t xml:space="preserve">ASC </w:t>
      </w:r>
      <w:r w:rsidR="005A479A">
        <w:t>development</w:t>
      </w:r>
      <w:r w:rsidR="001A16C4">
        <w:t>.   In the October 24 draft</w:t>
      </w:r>
      <w:r w:rsidR="00EE2BBE">
        <w:t xml:space="preserve"> of BPA’s ASC Rules of Procedure</w:t>
      </w:r>
      <w:r w:rsidR="009F31C2">
        <w:t>,</w:t>
      </w:r>
      <w:r w:rsidR="001A16C4">
        <w:t xml:space="preserve"> </w:t>
      </w:r>
      <w:r w:rsidR="009F31C2">
        <w:rPr>
          <w:rFonts w:cs="Times New Roman"/>
        </w:rPr>
        <w:t>§</w:t>
      </w:r>
      <w:r w:rsidR="001A16C4">
        <w:t xml:space="preserve">2.1.1.1(d) </w:t>
      </w:r>
      <w:r w:rsidR="009F31C2">
        <w:t>obligates participating utilities</w:t>
      </w:r>
      <w:r w:rsidR="00EE2BBE">
        <w:t xml:space="preserve"> to </w:t>
      </w:r>
      <w:r w:rsidR="009F31C2">
        <w:t xml:space="preserve">incorporate variance analysis into their Base Period ASC Filing.  We are encouraged by this </w:t>
      </w:r>
      <w:r w:rsidR="00EE2BBE">
        <w:t xml:space="preserve">explicit </w:t>
      </w:r>
      <w:r w:rsidR="0099371A">
        <w:t>language;</w:t>
      </w:r>
      <w:r w:rsidR="009F31C2">
        <w:t xml:space="preserve"> </w:t>
      </w:r>
      <w:r w:rsidR="00EE2BBE">
        <w:t>however, a</w:t>
      </w:r>
      <w:r w:rsidR="009F31C2">
        <w:t xml:space="preserve"> broader </w:t>
      </w:r>
      <w:r w:rsidR="007219C1">
        <w:t xml:space="preserve">set of years </w:t>
      </w:r>
      <w:r w:rsidR="00A60817">
        <w:t>is necessary to</w:t>
      </w:r>
      <w:r w:rsidR="00BC063F">
        <w:t xml:space="preserve"> provide the requisite scrutiny</w:t>
      </w:r>
      <w:r w:rsidR="007219C1">
        <w:t xml:space="preserve">.  The </w:t>
      </w:r>
      <w:r w:rsidR="00630403">
        <w:t xml:space="preserve">COU’s </w:t>
      </w:r>
      <w:r w:rsidR="00401DF2">
        <w:t>contend</w:t>
      </w:r>
      <w:r w:rsidR="00630403">
        <w:t xml:space="preserve"> that</w:t>
      </w:r>
      <w:r w:rsidR="00E85F53">
        <w:t xml:space="preserve"> </w:t>
      </w:r>
      <w:r w:rsidR="00CD3D2E">
        <w:t xml:space="preserve">it would be </w:t>
      </w:r>
      <w:r w:rsidR="005A681E">
        <w:t>prudent</w:t>
      </w:r>
      <w:r w:rsidR="00F33378">
        <w:t xml:space="preserve"> to </w:t>
      </w:r>
      <w:r w:rsidR="004279F6">
        <w:t>analyze the four years immediately preceding the Base Case year</w:t>
      </w:r>
      <w:r w:rsidR="004F2E6F">
        <w:t xml:space="preserve">.  Therefore, </w:t>
      </w:r>
      <w:r w:rsidR="00E4763E">
        <w:t xml:space="preserve">BPA should </w:t>
      </w:r>
      <w:r w:rsidR="00381DB5">
        <w:t xml:space="preserve">amend </w:t>
      </w:r>
      <w:r w:rsidR="00381DB5">
        <w:rPr>
          <w:rFonts w:cs="Times New Roman"/>
        </w:rPr>
        <w:t>§</w:t>
      </w:r>
      <w:r w:rsidR="00381DB5">
        <w:t xml:space="preserve">2.1.1.1(d) to </w:t>
      </w:r>
      <w:r w:rsidR="00E4763E">
        <w:t xml:space="preserve">require </w:t>
      </w:r>
      <w:r w:rsidR="009F2E47">
        <w:t xml:space="preserve">utility’s </w:t>
      </w:r>
      <w:r w:rsidR="00E4763E">
        <w:t xml:space="preserve">ASC filings to include the Appendix 1 inputs </w:t>
      </w:r>
      <w:r w:rsidR="000323A9">
        <w:t>for</w:t>
      </w:r>
      <w:r w:rsidR="008C6CAC">
        <w:t xml:space="preserve"> </w:t>
      </w:r>
      <w:r w:rsidR="00D47BD5">
        <w:t xml:space="preserve">both </w:t>
      </w:r>
      <w:r w:rsidR="00E85F53">
        <w:t>the</w:t>
      </w:r>
      <w:r w:rsidR="00630403">
        <w:t xml:space="preserve"> </w:t>
      </w:r>
      <w:r w:rsidR="007219C1">
        <w:t xml:space="preserve">two prior Base Period ASC Filings and </w:t>
      </w:r>
      <w:r w:rsidR="00E85F53">
        <w:t xml:space="preserve">the </w:t>
      </w:r>
      <w:r w:rsidR="007219C1">
        <w:t>two prior Informational ASC Fillings</w:t>
      </w:r>
      <w:r w:rsidR="00192FF5">
        <w:t>.</w:t>
      </w:r>
      <w:r w:rsidR="00773DE2">
        <w:t xml:space="preserve">  </w:t>
      </w:r>
      <w:r w:rsidR="00CD7A1E">
        <w:t xml:space="preserve">For each Appendix 1 input, the </w:t>
      </w:r>
      <w:r w:rsidR="00BC5FC5">
        <w:t>Base Period ASC filling</w:t>
      </w:r>
      <w:r w:rsidR="00CD7A1E">
        <w:t xml:space="preserve"> </w:t>
      </w:r>
      <w:r w:rsidR="005F7A48">
        <w:t xml:space="preserve">should </w:t>
      </w:r>
      <w:r w:rsidR="00CD7A1E">
        <w:t xml:space="preserve">establish </w:t>
      </w:r>
      <w:r w:rsidR="005A40C2">
        <w:t>v</w:t>
      </w:r>
      <w:r w:rsidR="00773DE2">
        <w:t xml:space="preserve">ariance between the </w:t>
      </w:r>
      <w:r w:rsidR="001973F1">
        <w:t xml:space="preserve">current </w:t>
      </w:r>
      <w:r w:rsidR="00F95531">
        <w:t>filing</w:t>
      </w:r>
      <w:r w:rsidR="001973F1">
        <w:t xml:space="preserve"> </w:t>
      </w:r>
      <w:r w:rsidR="005A40C2">
        <w:t xml:space="preserve">year </w:t>
      </w:r>
      <w:r w:rsidR="001973F1">
        <w:t xml:space="preserve">and each of the </w:t>
      </w:r>
      <w:r w:rsidR="001349A2">
        <w:t xml:space="preserve">four </w:t>
      </w:r>
      <w:r w:rsidR="001973F1">
        <w:t xml:space="preserve">previous years as well as </w:t>
      </w:r>
      <w:r w:rsidR="007B4320">
        <w:t xml:space="preserve">between the current filing year and the </w:t>
      </w:r>
      <w:r w:rsidR="00DB3B2D">
        <w:t>four-year</w:t>
      </w:r>
      <w:r w:rsidR="00D63BE0">
        <w:t xml:space="preserve"> historical average</w:t>
      </w:r>
      <w:r w:rsidR="005A40C2">
        <w:t>.</w:t>
      </w:r>
      <w:r w:rsidR="00084103">
        <w:t xml:space="preserve">  </w:t>
      </w:r>
      <w:r w:rsidR="00B60A56">
        <w:t xml:space="preserve">Furthermore, </w:t>
      </w:r>
      <w:r w:rsidR="00084103">
        <w:t xml:space="preserve">BPA </w:t>
      </w:r>
      <w:proofErr w:type="gramStart"/>
      <w:r w:rsidR="0044652B">
        <w:t>should</w:t>
      </w:r>
      <w:r w:rsidR="00C03AFA">
        <w:t xml:space="preserve"> </w:t>
      </w:r>
      <w:r w:rsidR="00AF27CB">
        <w:t>overtly</w:t>
      </w:r>
      <w:proofErr w:type="gramEnd"/>
      <w:r w:rsidR="00AF27CB">
        <w:t xml:space="preserve"> </w:t>
      </w:r>
      <w:r w:rsidR="00C77418">
        <w:t>reserve</w:t>
      </w:r>
      <w:r w:rsidR="00084103">
        <w:t xml:space="preserve"> the right </w:t>
      </w:r>
      <w:r w:rsidR="0073618D">
        <w:t xml:space="preserve">in the ASC Rules of Procedure </w:t>
      </w:r>
      <w:r w:rsidR="00084103">
        <w:t>to normalize</w:t>
      </w:r>
      <w:r w:rsidR="00276C3B">
        <w:t xml:space="preserve"> </w:t>
      </w:r>
      <w:r w:rsidR="002549D3">
        <w:t>Appendix 1 inputs</w:t>
      </w:r>
      <w:r w:rsidR="00EE08B1">
        <w:t xml:space="preserve"> </w:t>
      </w:r>
      <w:r w:rsidR="00F914CF">
        <w:t>if the utility</w:t>
      </w:r>
      <w:r w:rsidR="007849E8">
        <w:t xml:space="preserve"> cannot provide adequate justification</w:t>
      </w:r>
      <w:r w:rsidR="00EE08B1">
        <w:t xml:space="preserve"> for </w:t>
      </w:r>
      <w:r w:rsidR="001A14E4">
        <w:t>major</w:t>
      </w:r>
      <w:r w:rsidR="00EE08B1">
        <w:t xml:space="preserve"> deviation</w:t>
      </w:r>
      <w:r w:rsidR="001A14E4">
        <w:t>s</w:t>
      </w:r>
      <w:r w:rsidR="007849E8">
        <w:t>.</w:t>
      </w:r>
    </w:p>
    <w:p w14:paraId="4733DF79" w14:textId="77777777" w:rsidR="00586A4F" w:rsidRDefault="00586A4F" w:rsidP="0026655F">
      <w:pPr>
        <w:spacing w:after="0"/>
      </w:pPr>
    </w:p>
    <w:p w14:paraId="25BD2233" w14:textId="122E913F" w:rsidR="003D2ECE" w:rsidRPr="00D12FE5" w:rsidRDefault="003D2ECE" w:rsidP="003D2ECE">
      <w:pPr>
        <w:spacing w:after="0"/>
        <w:rPr>
          <w:i/>
          <w:iCs/>
        </w:rPr>
      </w:pPr>
      <w:r w:rsidRPr="00D12FE5">
        <w:rPr>
          <w:i/>
          <w:iCs/>
        </w:rPr>
        <w:t>Injuries and Damages</w:t>
      </w:r>
      <w:r w:rsidR="0062788A" w:rsidRPr="00D12FE5">
        <w:rPr>
          <w:i/>
          <w:iCs/>
        </w:rPr>
        <w:t xml:space="preserve"> (</w:t>
      </w:r>
      <w:r w:rsidR="003A38DF" w:rsidRPr="00D12FE5">
        <w:rPr>
          <w:i/>
          <w:iCs/>
        </w:rPr>
        <w:t xml:space="preserve">Account </w:t>
      </w:r>
      <w:r w:rsidR="0062788A" w:rsidRPr="00D12FE5">
        <w:rPr>
          <w:i/>
          <w:iCs/>
        </w:rPr>
        <w:t>925)</w:t>
      </w:r>
    </w:p>
    <w:p w14:paraId="63D5CF13" w14:textId="77777777" w:rsidR="003D2ECE" w:rsidRPr="00D12FE5" w:rsidRDefault="003D2ECE" w:rsidP="003D2ECE">
      <w:pPr>
        <w:spacing w:after="0"/>
      </w:pPr>
    </w:p>
    <w:p w14:paraId="036D35F4" w14:textId="720EA7E5" w:rsidR="00D575DC" w:rsidRPr="00D12FE5" w:rsidRDefault="00CF1904" w:rsidP="007A512E">
      <w:pPr>
        <w:pStyle w:val="ECMemoBody"/>
      </w:pPr>
      <w:r w:rsidRPr="00D12FE5">
        <w:t xml:space="preserve">We understand BPA’s proposal as </w:t>
      </w:r>
      <w:r w:rsidR="0062788A" w:rsidRPr="00D12FE5">
        <w:t>allocat</w:t>
      </w:r>
      <w:r w:rsidRPr="00D12FE5">
        <w:t>ing</w:t>
      </w:r>
      <w:r w:rsidR="0062788A" w:rsidRPr="00D12FE5">
        <w:t xml:space="preserve"> these costs </w:t>
      </w:r>
      <w:r w:rsidR="009E761B" w:rsidRPr="00D12FE5">
        <w:t xml:space="preserve">initially to </w:t>
      </w:r>
      <w:r w:rsidR="0062788A" w:rsidRPr="00D12FE5">
        <w:t>distribution</w:t>
      </w:r>
      <w:r w:rsidR="002C32F5" w:rsidRPr="00D12FE5">
        <w:t xml:space="preserve"> </w:t>
      </w:r>
      <w:r w:rsidR="0062788A" w:rsidRPr="00D12FE5">
        <w:t>– pending commission approval.  Injuries and Damage</w:t>
      </w:r>
      <w:r w:rsidR="002C32F5" w:rsidRPr="00D12FE5">
        <w:t>s</w:t>
      </w:r>
      <w:r w:rsidR="0048507E" w:rsidRPr="00D12FE5">
        <w:t xml:space="preserve"> costs </w:t>
      </w:r>
      <w:r w:rsidR="00CD6F51" w:rsidRPr="00D12FE5">
        <w:t>could</w:t>
      </w:r>
      <w:r w:rsidR="0048507E" w:rsidRPr="00D12FE5">
        <w:t xml:space="preserve"> be included in the ASC calculations</w:t>
      </w:r>
      <w:r w:rsidR="00C84112" w:rsidRPr="00D12FE5">
        <w:t xml:space="preserve"> </w:t>
      </w:r>
      <w:r w:rsidR="008C3D4B" w:rsidRPr="00D12FE5">
        <w:t xml:space="preserve">to the </w:t>
      </w:r>
      <w:r w:rsidR="004B4407" w:rsidRPr="00D12FE5">
        <w:t xml:space="preserve">extent </w:t>
      </w:r>
      <w:r w:rsidR="008C3D4B" w:rsidRPr="00D12FE5">
        <w:t xml:space="preserve">they are </w:t>
      </w:r>
      <w:r w:rsidR="0062788A" w:rsidRPr="00D12FE5">
        <w:t xml:space="preserve">approved for recovery in retail rates by relevant </w:t>
      </w:r>
      <w:r w:rsidR="00E82CFB" w:rsidRPr="00D12FE5">
        <w:t>Commissions</w:t>
      </w:r>
      <w:r w:rsidR="008C3D4B" w:rsidRPr="00D12FE5">
        <w:t>,</w:t>
      </w:r>
      <w:r w:rsidR="0062788A" w:rsidRPr="00D12FE5">
        <w:t xml:space="preserve"> </w:t>
      </w:r>
      <w:r w:rsidR="00C84112" w:rsidRPr="00D12FE5">
        <w:t xml:space="preserve">through </w:t>
      </w:r>
      <w:r w:rsidR="0062788A" w:rsidRPr="00D12FE5">
        <w:t xml:space="preserve">a separate </w:t>
      </w:r>
      <w:r w:rsidR="008C3D4B" w:rsidRPr="00D12FE5">
        <w:t xml:space="preserve">Table 1 </w:t>
      </w:r>
      <w:r w:rsidR="0062788A" w:rsidRPr="00D12FE5">
        <w:t>line item.</w:t>
      </w:r>
      <w:r w:rsidR="00412D1F" w:rsidRPr="00D12FE5">
        <w:t xml:space="preserve"> These commission approved costs would then be functionalized a</w:t>
      </w:r>
      <w:r w:rsidR="00264A88" w:rsidRPr="00D12FE5">
        <w:t>ccording to the Labor Ratio</w:t>
      </w:r>
      <w:r w:rsidR="00D575DC" w:rsidRPr="00D12FE5">
        <w:t xml:space="preserve">. </w:t>
      </w:r>
      <w:r w:rsidR="001C3C45" w:rsidRPr="00D12FE5">
        <w:t>To prevent double recovery, t</w:t>
      </w:r>
      <w:r w:rsidR="00D575DC" w:rsidRPr="00D12FE5">
        <w:t>hese costs would not be allowed to be recovered from the Regulatory Assets or Liabilities accounts.</w:t>
      </w:r>
    </w:p>
    <w:p w14:paraId="1E39CD69" w14:textId="77777777" w:rsidR="00D575DC" w:rsidRPr="00D12FE5" w:rsidRDefault="00D575DC" w:rsidP="0062788A">
      <w:pPr>
        <w:pStyle w:val="ECMemoBody"/>
        <w:ind w:left="720"/>
      </w:pPr>
    </w:p>
    <w:p w14:paraId="46DA59D6" w14:textId="5D5F8396" w:rsidR="0062788A" w:rsidRDefault="00D575DC" w:rsidP="007A512E">
      <w:pPr>
        <w:pStyle w:val="ECMemoBody"/>
      </w:pPr>
      <w:proofErr w:type="gramStart"/>
      <w:r w:rsidRPr="00D12FE5">
        <w:t>At this time</w:t>
      </w:r>
      <w:proofErr w:type="gramEnd"/>
      <w:r w:rsidRPr="00D12FE5">
        <w:t xml:space="preserve">, we </w:t>
      </w:r>
      <w:r w:rsidR="00D12FE5">
        <w:t xml:space="preserve">tentatively </w:t>
      </w:r>
      <w:r w:rsidR="0062788A" w:rsidRPr="00D12FE5">
        <w:t>see this as an improvement over a direct assignment from FERC Form 1</w:t>
      </w:r>
      <w:r w:rsidR="00D12FE5">
        <w:t>, particularly for lower cost items.  However, we</w:t>
      </w:r>
      <w:r w:rsidR="0062788A" w:rsidRPr="00D12FE5">
        <w:t xml:space="preserve"> remain concerned that wildfire-cost risk exposure</w:t>
      </w:r>
      <w:r w:rsidR="00595301">
        <w:t xml:space="preserve"> from the IOUs distribution and transmission systems could result in significant </w:t>
      </w:r>
      <w:r w:rsidR="002C0650">
        <w:t>wildfire-related</w:t>
      </w:r>
      <w:r w:rsidR="00595301">
        <w:t xml:space="preserve"> costs being allocated to production under BPA’s</w:t>
      </w:r>
      <w:r w:rsidR="007A525A">
        <w:t xml:space="preserve"> ASCM</w:t>
      </w:r>
      <w:r w:rsidR="00595301">
        <w:t xml:space="preserve"> proposal.  We recommend that BPA exclude all wildfire related costs from production for purposes of the ASCM on the </w:t>
      </w:r>
      <w:r w:rsidR="00595301" w:rsidRPr="004C3CCF">
        <w:t>bas</w:t>
      </w:r>
      <w:r w:rsidR="004C3CCF" w:rsidRPr="00BD7103">
        <w:t>i</w:t>
      </w:r>
      <w:r w:rsidR="00595301" w:rsidRPr="004C3CCF">
        <w:t>s</w:t>
      </w:r>
      <w:r w:rsidR="00595301">
        <w:t xml:space="preserve"> that such costs are (i) likely to arise from the exchanging utility’s transmission and distribution business lines and (ii) akin to costs arising from “uncontrollable events” that would be excluded from the §7(b)(2) rate test.  With respect to the latter, this </w:t>
      </w:r>
      <w:proofErr w:type="gramStart"/>
      <w:r w:rsidR="00595301">
        <w:t>would be</w:t>
      </w:r>
      <w:proofErr w:type="gramEnd"/>
      <w:r w:rsidR="00595301">
        <w:t xml:space="preserve"> </w:t>
      </w:r>
      <w:proofErr w:type="gramStart"/>
      <w:r w:rsidR="00595301">
        <w:t>place</w:t>
      </w:r>
      <w:proofErr w:type="gramEnd"/>
      <w:r w:rsidR="00595301">
        <w:t xml:space="preserve"> the ASCM and the §7(b)(2) on a more apples to apples basis.  </w:t>
      </w:r>
    </w:p>
    <w:p w14:paraId="41B54FB8" w14:textId="77777777" w:rsidR="0062788A" w:rsidRDefault="0062788A" w:rsidP="0062788A">
      <w:pPr>
        <w:pStyle w:val="ECMemoBody"/>
        <w:ind w:left="1440"/>
      </w:pPr>
    </w:p>
    <w:p w14:paraId="46938E0B" w14:textId="77777777" w:rsidR="003D2ECE" w:rsidRDefault="003D2ECE" w:rsidP="0026655F">
      <w:pPr>
        <w:spacing w:after="0"/>
      </w:pPr>
    </w:p>
    <w:p w14:paraId="7EB085CE" w14:textId="031DCF3B" w:rsidR="009E0F91" w:rsidRPr="009E0F91" w:rsidRDefault="00EE3AA4" w:rsidP="0026655F">
      <w:pPr>
        <w:spacing w:after="0"/>
        <w:rPr>
          <w:i/>
          <w:iCs/>
        </w:rPr>
      </w:pPr>
      <w:r>
        <w:rPr>
          <w:i/>
          <w:iCs/>
        </w:rPr>
        <w:t>Exclusion</w:t>
      </w:r>
      <w:r w:rsidR="007362C1">
        <w:rPr>
          <w:i/>
          <w:iCs/>
        </w:rPr>
        <w:t xml:space="preserve"> of </w:t>
      </w:r>
      <w:r w:rsidR="00370553">
        <w:rPr>
          <w:i/>
          <w:iCs/>
        </w:rPr>
        <w:t>Disallowed Costs</w:t>
      </w:r>
    </w:p>
    <w:p w14:paraId="1A15AE50" w14:textId="77777777" w:rsidR="0026655F" w:rsidRDefault="0026655F" w:rsidP="0026655F">
      <w:pPr>
        <w:spacing w:after="0"/>
      </w:pPr>
    </w:p>
    <w:p w14:paraId="1B5200CC" w14:textId="48D38E41" w:rsidR="00C85C70" w:rsidRDefault="006D1892" w:rsidP="00AF7BEA">
      <w:pPr>
        <w:spacing w:after="0"/>
        <w:rPr>
          <w:rFonts w:eastAsia="Times New Roman"/>
        </w:rPr>
      </w:pPr>
      <w:r>
        <w:lastRenderedPageBreak/>
        <w:t>T</w:t>
      </w:r>
      <w:r w:rsidR="00216C70">
        <w:t xml:space="preserve">o protect customers, </w:t>
      </w:r>
      <w:r w:rsidR="008A6060">
        <w:t>IOUs</w:t>
      </w:r>
      <w:r>
        <w:t xml:space="preserve"> rate making </w:t>
      </w:r>
      <w:r w:rsidR="000D0C7F">
        <w:t xml:space="preserve">requires robust </w:t>
      </w:r>
      <w:r w:rsidR="008A6060">
        <w:t>regulatory review</w:t>
      </w:r>
      <w:r w:rsidR="00FB4A4C">
        <w:t xml:space="preserve"> which </w:t>
      </w:r>
      <w:r w:rsidR="00EB7F24">
        <w:t>routinely</w:t>
      </w:r>
      <w:r w:rsidR="008429B8">
        <w:t xml:space="preserve"> disallows </w:t>
      </w:r>
      <w:r w:rsidR="00415B17">
        <w:t>cost</w:t>
      </w:r>
      <w:r w:rsidR="005072DE">
        <w:t xml:space="preserve">s </w:t>
      </w:r>
      <w:r w:rsidR="001F2360">
        <w:t>from being</w:t>
      </w:r>
      <w:r w:rsidR="005072DE">
        <w:t xml:space="preserve"> </w:t>
      </w:r>
      <w:r w:rsidR="008F4B43">
        <w:t xml:space="preserve">borne by </w:t>
      </w:r>
      <w:r w:rsidR="00322F07">
        <w:t xml:space="preserve">utility </w:t>
      </w:r>
      <w:r w:rsidR="004F3885">
        <w:t>ratepayers</w:t>
      </w:r>
      <w:r w:rsidR="00CC0C80">
        <w:t>.</w:t>
      </w:r>
      <w:r w:rsidR="001B38B1">
        <w:t xml:space="preserve"> </w:t>
      </w:r>
      <w:r w:rsidR="00363BF4">
        <w:t xml:space="preserve"> </w:t>
      </w:r>
      <w:r w:rsidR="00D671E0">
        <w:t>In the REP</w:t>
      </w:r>
      <w:r w:rsidR="00D3777D">
        <w:t>,</w:t>
      </w:r>
      <w:r w:rsidR="00A9217B">
        <w:t xml:space="preserve"> </w:t>
      </w:r>
      <w:r w:rsidR="00C8446F">
        <w:t xml:space="preserve">each </w:t>
      </w:r>
      <w:r w:rsidR="00EF6029">
        <w:t xml:space="preserve">IOUs </w:t>
      </w:r>
      <w:r w:rsidR="00A9217B">
        <w:t xml:space="preserve">ASC </w:t>
      </w:r>
      <w:r w:rsidR="00D22F09">
        <w:t>will be</w:t>
      </w:r>
      <w:r w:rsidR="00A9217B">
        <w:t xml:space="preserve"> developed </w:t>
      </w:r>
      <w:r w:rsidR="009969CA">
        <w:t xml:space="preserve">using </w:t>
      </w:r>
      <w:r w:rsidR="00F8165F">
        <w:t>Appendix 1</w:t>
      </w:r>
      <w:r w:rsidR="00C8446F">
        <w:t xml:space="preserve"> inputs</w:t>
      </w:r>
      <w:r w:rsidR="00F8165F">
        <w:t xml:space="preserve"> </w:t>
      </w:r>
      <w:r w:rsidR="009750B5">
        <w:t xml:space="preserve">which </w:t>
      </w:r>
      <w:r w:rsidR="00FB4A55">
        <w:t>rel</w:t>
      </w:r>
      <w:r w:rsidR="00C8446F">
        <w:t>y</w:t>
      </w:r>
      <w:r w:rsidR="00FB4A55">
        <w:t xml:space="preserve"> on FERC Form 1 data</w:t>
      </w:r>
      <w:r w:rsidR="009750B5">
        <w:t xml:space="preserve">.  FERC Form 1 is a </w:t>
      </w:r>
      <w:r w:rsidR="00F8165F">
        <w:t>financial accounting record, not a ratemaking document.</w:t>
      </w:r>
      <w:r w:rsidR="0086758F">
        <w:t xml:space="preserve">  </w:t>
      </w:r>
      <w:r w:rsidR="00C12CD4">
        <w:t>It can, and will, include disallowed costs</w:t>
      </w:r>
      <w:r w:rsidR="00583F4A">
        <w:t xml:space="preserve">.  </w:t>
      </w:r>
      <w:r w:rsidR="00AF7BEA" w:rsidRPr="00614A6F">
        <w:t>C</w:t>
      </w:r>
      <w:r w:rsidR="00AF7BEA" w:rsidRPr="00614A6F">
        <w:rPr>
          <w:rFonts w:eastAsia="Times New Roman"/>
        </w:rPr>
        <w:t>osts included in FERC accounts that are disallowed by the IOU’s regulatory commission(s) for retail ratemaking must be identified (nature and amount) and removed for ASC purposes.</w:t>
      </w:r>
      <w:r w:rsidR="00AF7BEA" w:rsidRPr="0050379F">
        <w:rPr>
          <w:rFonts w:eastAsia="Times New Roman"/>
        </w:rPr>
        <w:t xml:space="preserve">  This </w:t>
      </w:r>
      <w:r w:rsidR="00AF7BEA">
        <w:rPr>
          <w:rFonts w:eastAsia="Times New Roman"/>
        </w:rPr>
        <w:t>will</w:t>
      </w:r>
      <w:r w:rsidR="00AF7BEA" w:rsidRPr="0050379F">
        <w:rPr>
          <w:rFonts w:eastAsia="Times New Roman"/>
        </w:rPr>
        <w:t xml:space="preserve"> better align </w:t>
      </w:r>
      <w:r w:rsidR="00C05C24">
        <w:rPr>
          <w:rFonts w:eastAsia="Times New Roman"/>
        </w:rPr>
        <w:t xml:space="preserve">utility ASC filings with </w:t>
      </w:r>
      <w:r w:rsidR="00AF7BEA" w:rsidRPr="0050379F">
        <w:rPr>
          <w:rFonts w:eastAsia="Times New Roman"/>
        </w:rPr>
        <w:t xml:space="preserve">retail ratemaking. </w:t>
      </w:r>
      <w:r w:rsidR="0077529E">
        <w:rPr>
          <w:rFonts w:eastAsia="Times New Roman"/>
        </w:rPr>
        <w:t xml:space="preserve"> </w:t>
      </w:r>
      <w:r w:rsidR="00AF7BEA" w:rsidRPr="0050379F">
        <w:rPr>
          <w:rFonts w:eastAsia="Times New Roman"/>
        </w:rPr>
        <w:t xml:space="preserve">If the utility’s ASC FERC accounting period doesn’t match the test period used by the regulatory commission for IOU retail ratemaking, such </w:t>
      </w:r>
      <w:proofErr w:type="gramStart"/>
      <w:r w:rsidR="00AF7BEA" w:rsidRPr="0050379F">
        <w:rPr>
          <w:rFonts w:eastAsia="Times New Roman"/>
        </w:rPr>
        <w:t>like</w:t>
      </w:r>
      <w:proofErr w:type="gramEnd"/>
      <w:r w:rsidR="00AF7BEA" w:rsidRPr="0050379F">
        <w:rPr>
          <w:rFonts w:eastAsia="Times New Roman"/>
        </w:rPr>
        <w:t xml:space="preserve"> </w:t>
      </w:r>
      <w:r w:rsidR="00B23F3E">
        <w:rPr>
          <w:rFonts w:eastAsia="Times New Roman"/>
        </w:rPr>
        <w:t xml:space="preserve">disallowed </w:t>
      </w:r>
      <w:r w:rsidR="00AF7BEA" w:rsidRPr="0050379F">
        <w:rPr>
          <w:rFonts w:eastAsia="Times New Roman"/>
        </w:rPr>
        <w:t xml:space="preserve">costs </w:t>
      </w:r>
      <w:r w:rsidR="00F12CA4">
        <w:rPr>
          <w:rFonts w:eastAsia="Times New Roman"/>
        </w:rPr>
        <w:t>should</w:t>
      </w:r>
      <w:r w:rsidR="00AF7BEA" w:rsidRPr="0050379F">
        <w:rPr>
          <w:rFonts w:eastAsia="Times New Roman"/>
        </w:rPr>
        <w:t xml:space="preserve"> be identified and removed from specific accounts in the utility’s ASC filings if applicable</w:t>
      </w:r>
      <w:r w:rsidR="0035210D">
        <w:rPr>
          <w:rStyle w:val="FootnoteReference"/>
          <w:rFonts w:eastAsia="Times New Roman"/>
        </w:rPr>
        <w:footnoteReference w:id="1"/>
      </w:r>
      <w:r w:rsidR="00AF7BEA">
        <w:rPr>
          <w:rFonts w:eastAsia="Times New Roman"/>
        </w:rPr>
        <w:t>.</w:t>
      </w:r>
      <w:r w:rsidR="001254BF">
        <w:rPr>
          <w:rFonts w:eastAsia="Times New Roman"/>
        </w:rPr>
        <w:t xml:space="preserve">  </w:t>
      </w:r>
    </w:p>
    <w:p w14:paraId="677AAF1F" w14:textId="77777777" w:rsidR="00C85C70" w:rsidRDefault="00C85C70" w:rsidP="00AF7BEA">
      <w:pPr>
        <w:spacing w:after="0"/>
        <w:rPr>
          <w:rFonts w:eastAsia="Times New Roman"/>
        </w:rPr>
      </w:pPr>
    </w:p>
    <w:p w14:paraId="00B2BA8E" w14:textId="33F56043" w:rsidR="008964C2" w:rsidRDefault="00184A10" w:rsidP="00AF7BEA">
      <w:pPr>
        <w:spacing w:after="0"/>
        <w:rPr>
          <w:rFonts w:eastAsia="Times New Roman"/>
        </w:rPr>
      </w:pPr>
      <w:r>
        <w:rPr>
          <w:rFonts w:eastAsia="Times New Roman"/>
        </w:rPr>
        <w:t xml:space="preserve">To </w:t>
      </w:r>
      <w:r w:rsidR="00E37BAD">
        <w:rPr>
          <w:rFonts w:eastAsia="Times New Roman"/>
        </w:rPr>
        <w:t>ensure IOU compliance with the recommended cost exclusions,</w:t>
      </w:r>
      <w:r w:rsidR="00B54EE8">
        <w:rPr>
          <w:rFonts w:eastAsia="Times New Roman"/>
        </w:rPr>
        <w:t xml:space="preserve"> BPA should </w:t>
      </w:r>
      <w:r w:rsidR="00394BF4">
        <w:rPr>
          <w:rFonts w:eastAsia="Times New Roman"/>
        </w:rPr>
        <w:t>amend Attachment A</w:t>
      </w:r>
      <w:r w:rsidR="000C1895">
        <w:rPr>
          <w:rFonts w:eastAsia="Times New Roman"/>
        </w:rPr>
        <w:t xml:space="preserve"> </w:t>
      </w:r>
      <w:r w:rsidR="001D650B">
        <w:rPr>
          <w:rFonts w:eastAsia="Times New Roman"/>
        </w:rPr>
        <w:t xml:space="preserve">“Senior Financial Officer Attestation” </w:t>
      </w:r>
      <w:r w:rsidR="000C1895">
        <w:rPr>
          <w:rFonts w:eastAsia="Times New Roman"/>
        </w:rPr>
        <w:t>to read</w:t>
      </w:r>
      <w:r w:rsidR="008964C2">
        <w:rPr>
          <w:rFonts w:eastAsia="Times New Roman"/>
        </w:rPr>
        <w:t>:</w:t>
      </w:r>
    </w:p>
    <w:p w14:paraId="73CFC45B" w14:textId="77777777" w:rsidR="009A0E17" w:rsidRDefault="009A0E17" w:rsidP="00AF7BEA">
      <w:pPr>
        <w:spacing w:after="0"/>
        <w:rPr>
          <w:rFonts w:eastAsia="Times New Roman"/>
        </w:rPr>
      </w:pPr>
    </w:p>
    <w:p w14:paraId="58EEFC3E" w14:textId="3D5792B8" w:rsidR="00323740" w:rsidRPr="00782EB5" w:rsidRDefault="008964C2" w:rsidP="00DB3641">
      <w:pPr>
        <w:spacing w:after="0"/>
        <w:ind w:left="720"/>
        <w:rPr>
          <w:rFonts w:ascii="Cambria" w:eastAsia="Times New Roman" w:hAnsi="Cambria"/>
          <w:sz w:val="24"/>
          <w:szCs w:val="24"/>
        </w:rPr>
      </w:pPr>
      <w:r w:rsidRPr="00782EB5">
        <w:rPr>
          <w:rFonts w:ascii="Cambria" w:hAnsi="Cambria"/>
          <w:sz w:val="24"/>
          <w:szCs w:val="24"/>
        </w:rPr>
        <w:t>2.  The Base Period ASC Filing excludes the costs associated with:</w:t>
      </w:r>
      <w:bookmarkStart w:id="0" w:name="_Hlk213402588"/>
      <w:r w:rsidRPr="00782EB5">
        <w:rPr>
          <w:rFonts w:ascii="Cambria" w:hAnsi="Cambria"/>
          <w:sz w:val="24"/>
          <w:szCs w:val="24"/>
        </w:rPr>
        <w:t xml:space="preserve"> </w:t>
      </w:r>
      <w:bookmarkEnd w:id="0"/>
      <w:r w:rsidRPr="00782EB5">
        <w:rPr>
          <w:rFonts w:ascii="Cambria" w:hAnsi="Cambria"/>
          <w:sz w:val="24"/>
          <w:szCs w:val="24"/>
        </w:rPr>
        <w:t xml:space="preserve">(a) the cost of additional resources in an amount sufficient to serve any New Large Single Load (NLSL) after September 1, 1979; (b) the cost of additional resources in an amount sufficient to meet any additional load outside the region occurring after December 5, 1980; (c) </w:t>
      </w:r>
      <w:r w:rsidR="002739AE">
        <w:rPr>
          <w:rFonts w:ascii="Cambria" w:hAnsi="Cambria"/>
          <w:sz w:val="24"/>
          <w:szCs w:val="24"/>
        </w:rPr>
        <w:t>the costs</w:t>
      </w:r>
      <w:r w:rsidRPr="00782EB5">
        <w:rPr>
          <w:rFonts w:ascii="Cambria" w:hAnsi="Cambria"/>
          <w:sz w:val="24"/>
          <w:szCs w:val="24"/>
        </w:rPr>
        <w:t xml:space="preserve"> of any generating facility which is terminated prior to initial commercial operation</w:t>
      </w:r>
      <w:r w:rsidR="00DB3641" w:rsidRPr="00782EB5">
        <w:rPr>
          <w:rFonts w:ascii="Cambria" w:hAnsi="Cambria"/>
          <w:sz w:val="24"/>
          <w:szCs w:val="24"/>
        </w:rPr>
        <w:t xml:space="preserve">; </w:t>
      </w:r>
      <w:r w:rsidR="00EA78A3" w:rsidRPr="00782EB5">
        <w:rPr>
          <w:rFonts w:ascii="Cambria" w:hAnsi="Cambria"/>
          <w:sz w:val="24"/>
          <w:szCs w:val="24"/>
        </w:rPr>
        <w:t>and</w:t>
      </w:r>
      <w:r w:rsidR="003C7F6A" w:rsidRPr="00782EB5">
        <w:rPr>
          <w:rFonts w:ascii="Cambria" w:hAnsi="Cambria"/>
          <w:sz w:val="24"/>
          <w:szCs w:val="24"/>
        </w:rPr>
        <w:t xml:space="preserve"> </w:t>
      </w:r>
      <w:r w:rsidR="00EB56ED" w:rsidRPr="00782EB5">
        <w:rPr>
          <w:rFonts w:ascii="Cambria" w:eastAsia="Times New Roman" w:hAnsi="Cambria"/>
          <w:sz w:val="24"/>
          <w:szCs w:val="24"/>
          <w:u w:val="single"/>
        </w:rPr>
        <w:t>(d)</w:t>
      </w:r>
      <w:r w:rsidR="00247D64" w:rsidRPr="00782EB5">
        <w:rPr>
          <w:rFonts w:ascii="Cambria" w:eastAsia="Times New Roman" w:hAnsi="Cambria"/>
          <w:sz w:val="24"/>
          <w:szCs w:val="24"/>
          <w:u w:val="single"/>
        </w:rPr>
        <w:t xml:space="preserve"> </w:t>
      </w:r>
      <w:r w:rsidR="007F1ACD" w:rsidRPr="00782EB5">
        <w:rPr>
          <w:rFonts w:ascii="Cambria" w:eastAsia="Times New Roman" w:hAnsi="Cambria"/>
          <w:sz w:val="24"/>
          <w:szCs w:val="24"/>
          <w:u w:val="single"/>
        </w:rPr>
        <w:t xml:space="preserve">any costs </w:t>
      </w:r>
      <w:r w:rsidR="004F7BAD">
        <w:rPr>
          <w:rFonts w:ascii="Cambria" w:eastAsia="Times New Roman" w:hAnsi="Cambria"/>
          <w:sz w:val="24"/>
          <w:szCs w:val="24"/>
          <w:u w:val="single"/>
        </w:rPr>
        <w:t xml:space="preserve">or like costs </w:t>
      </w:r>
      <w:r w:rsidR="001B6315">
        <w:rPr>
          <w:rFonts w:ascii="Cambria" w:eastAsia="Times New Roman" w:hAnsi="Cambria"/>
          <w:sz w:val="24"/>
          <w:szCs w:val="24"/>
          <w:u w:val="single"/>
        </w:rPr>
        <w:t>reported in a utilities FERC Form 1 filing</w:t>
      </w:r>
      <w:r w:rsidR="007F1ACD" w:rsidRPr="00782EB5">
        <w:rPr>
          <w:rFonts w:ascii="Cambria" w:eastAsia="Times New Roman" w:hAnsi="Cambria"/>
          <w:sz w:val="24"/>
          <w:szCs w:val="24"/>
          <w:u w:val="single"/>
        </w:rPr>
        <w:t xml:space="preserve"> </w:t>
      </w:r>
      <w:r w:rsidR="00BD5E7B" w:rsidRPr="00782EB5">
        <w:rPr>
          <w:rFonts w:ascii="Cambria" w:eastAsia="Times New Roman" w:hAnsi="Cambria"/>
          <w:sz w:val="24"/>
          <w:szCs w:val="24"/>
          <w:u w:val="single"/>
        </w:rPr>
        <w:t xml:space="preserve">that were </w:t>
      </w:r>
      <w:r w:rsidR="007F1ACD" w:rsidRPr="00782EB5">
        <w:rPr>
          <w:rFonts w:ascii="Cambria" w:eastAsia="Times New Roman" w:hAnsi="Cambria"/>
          <w:sz w:val="24"/>
          <w:szCs w:val="24"/>
          <w:u w:val="single"/>
        </w:rPr>
        <w:t>disallowed</w:t>
      </w:r>
      <w:r w:rsidR="00364329" w:rsidRPr="00782EB5">
        <w:rPr>
          <w:rFonts w:ascii="Cambria" w:eastAsia="Times New Roman" w:hAnsi="Cambria"/>
          <w:sz w:val="24"/>
          <w:szCs w:val="24"/>
          <w:u w:val="single"/>
        </w:rPr>
        <w:t xml:space="preserve"> </w:t>
      </w:r>
      <w:r w:rsidR="007F1ACD" w:rsidRPr="00782EB5">
        <w:rPr>
          <w:rFonts w:ascii="Cambria" w:eastAsia="Times New Roman" w:hAnsi="Cambria"/>
          <w:sz w:val="24"/>
          <w:szCs w:val="24"/>
          <w:u w:val="single"/>
        </w:rPr>
        <w:t>by</w:t>
      </w:r>
      <w:r w:rsidR="00286F66" w:rsidRPr="00782EB5">
        <w:rPr>
          <w:rFonts w:ascii="Cambria" w:eastAsia="Times New Roman" w:hAnsi="Cambria"/>
          <w:sz w:val="24"/>
          <w:szCs w:val="24"/>
          <w:u w:val="single"/>
        </w:rPr>
        <w:t xml:space="preserve"> </w:t>
      </w:r>
      <w:r w:rsidR="00FF0EBB">
        <w:rPr>
          <w:rFonts w:ascii="Cambria" w:eastAsia="Times New Roman" w:hAnsi="Cambria"/>
          <w:sz w:val="24"/>
          <w:szCs w:val="24"/>
          <w:u w:val="single"/>
        </w:rPr>
        <w:t xml:space="preserve">any </w:t>
      </w:r>
      <w:r w:rsidR="003D2612">
        <w:rPr>
          <w:rFonts w:ascii="Cambria" w:eastAsia="Times New Roman" w:hAnsi="Cambria"/>
          <w:sz w:val="24"/>
          <w:szCs w:val="24"/>
          <w:u w:val="single"/>
        </w:rPr>
        <w:t>R</w:t>
      </w:r>
      <w:r w:rsidR="0025328A">
        <w:rPr>
          <w:rFonts w:ascii="Cambria" w:eastAsia="Times New Roman" w:hAnsi="Cambria"/>
          <w:sz w:val="24"/>
          <w:szCs w:val="24"/>
          <w:u w:val="single"/>
        </w:rPr>
        <w:t xml:space="preserve">egulatory </w:t>
      </w:r>
      <w:r w:rsidR="003D2612">
        <w:rPr>
          <w:rFonts w:ascii="Cambria" w:eastAsia="Times New Roman" w:hAnsi="Cambria"/>
          <w:sz w:val="24"/>
          <w:szCs w:val="24"/>
          <w:u w:val="single"/>
        </w:rPr>
        <w:t>B</w:t>
      </w:r>
      <w:r w:rsidR="0025328A">
        <w:rPr>
          <w:rFonts w:ascii="Cambria" w:eastAsia="Times New Roman" w:hAnsi="Cambria"/>
          <w:sz w:val="24"/>
          <w:szCs w:val="24"/>
          <w:u w:val="single"/>
        </w:rPr>
        <w:t>ody</w:t>
      </w:r>
      <w:r w:rsidR="003D2612">
        <w:rPr>
          <w:rFonts w:ascii="Cambria" w:eastAsia="Times New Roman" w:hAnsi="Cambria"/>
          <w:sz w:val="24"/>
          <w:szCs w:val="24"/>
          <w:u w:val="single"/>
        </w:rPr>
        <w:t>(</w:t>
      </w:r>
      <w:proofErr w:type="spellStart"/>
      <w:r w:rsidR="002A50FC">
        <w:rPr>
          <w:rFonts w:ascii="Cambria" w:eastAsia="Times New Roman" w:hAnsi="Cambria"/>
          <w:sz w:val="24"/>
          <w:szCs w:val="24"/>
          <w:u w:val="single"/>
        </w:rPr>
        <w:t>ies</w:t>
      </w:r>
      <w:proofErr w:type="spellEnd"/>
      <w:r w:rsidR="003D2612">
        <w:rPr>
          <w:rFonts w:ascii="Cambria" w:eastAsia="Times New Roman" w:hAnsi="Cambria"/>
          <w:sz w:val="24"/>
          <w:szCs w:val="24"/>
          <w:u w:val="single"/>
        </w:rPr>
        <w:t>)</w:t>
      </w:r>
      <w:r w:rsidR="00FE2EBF">
        <w:rPr>
          <w:rFonts w:ascii="Cambria" w:eastAsia="Times New Roman" w:hAnsi="Cambria"/>
          <w:sz w:val="24"/>
          <w:szCs w:val="24"/>
          <w:u w:val="single"/>
        </w:rPr>
        <w:t xml:space="preserve"> with jurisdiction </w:t>
      </w:r>
      <w:r w:rsidR="003D0773">
        <w:rPr>
          <w:rFonts w:ascii="Cambria" w:eastAsia="Times New Roman" w:hAnsi="Cambria"/>
          <w:sz w:val="24"/>
          <w:szCs w:val="24"/>
          <w:u w:val="single"/>
        </w:rPr>
        <w:t xml:space="preserve">to approve retail </w:t>
      </w:r>
      <w:r w:rsidR="0062272E">
        <w:rPr>
          <w:rFonts w:ascii="Cambria" w:eastAsia="Times New Roman" w:hAnsi="Cambria"/>
          <w:sz w:val="24"/>
          <w:szCs w:val="24"/>
          <w:u w:val="single"/>
        </w:rPr>
        <w:t xml:space="preserve">or wholesale </w:t>
      </w:r>
      <w:r w:rsidR="003D0773">
        <w:rPr>
          <w:rFonts w:ascii="Cambria" w:eastAsia="Times New Roman" w:hAnsi="Cambria"/>
          <w:sz w:val="24"/>
          <w:szCs w:val="24"/>
          <w:u w:val="single"/>
        </w:rPr>
        <w:t>rates</w:t>
      </w:r>
      <w:r w:rsidR="00590D01">
        <w:rPr>
          <w:rFonts w:ascii="Cambria" w:eastAsia="Times New Roman" w:hAnsi="Cambria"/>
          <w:sz w:val="24"/>
          <w:szCs w:val="24"/>
          <w:u w:val="single"/>
        </w:rPr>
        <w:t xml:space="preserve"> in the region</w:t>
      </w:r>
      <w:r w:rsidR="0025328A">
        <w:rPr>
          <w:rFonts w:ascii="Cambria" w:eastAsia="Times New Roman" w:hAnsi="Cambria"/>
          <w:sz w:val="24"/>
          <w:szCs w:val="24"/>
          <w:u w:val="single"/>
        </w:rPr>
        <w:t>.</w:t>
      </w:r>
    </w:p>
    <w:p w14:paraId="0B63DB0D" w14:textId="60F897FF" w:rsidR="0080236E" w:rsidRDefault="0080236E" w:rsidP="00D9217B">
      <w:pPr>
        <w:spacing w:after="0"/>
      </w:pPr>
    </w:p>
    <w:p w14:paraId="31E9EF17" w14:textId="20D69F80" w:rsidR="00CC5290" w:rsidRDefault="00E27576" w:rsidP="0026655F">
      <w:pPr>
        <w:spacing w:after="0"/>
      </w:pPr>
      <w:r>
        <w:t xml:space="preserve">The COUs </w:t>
      </w:r>
      <w:r w:rsidR="00332EA7">
        <w:t>offer</w:t>
      </w:r>
      <w:r w:rsidR="00EE3AA4">
        <w:t xml:space="preserve"> this </w:t>
      </w:r>
      <w:r w:rsidR="00AD0628">
        <w:t>solution</w:t>
      </w:r>
      <w:r w:rsidR="00EE3AA4">
        <w:t xml:space="preserve"> </w:t>
      </w:r>
      <w:r w:rsidR="00554DB7">
        <w:t>to align ASC development with the intent of the Northwest Power Act.  In the</w:t>
      </w:r>
      <w:r w:rsidR="00AC0303">
        <w:t xml:space="preserve"> </w:t>
      </w:r>
      <w:r w:rsidR="007B353B">
        <w:t>legislative history</w:t>
      </w:r>
      <w:r w:rsidR="00F54D5C">
        <w:rPr>
          <w:rStyle w:val="FootnoteReference"/>
        </w:rPr>
        <w:footnoteReference w:id="2"/>
      </w:r>
      <w:r w:rsidR="00554DB7">
        <w:t xml:space="preserve">, </w:t>
      </w:r>
      <w:r w:rsidR="00FB7603">
        <w:t xml:space="preserve">the </w:t>
      </w:r>
      <w:r w:rsidR="00191D4F">
        <w:t>express</w:t>
      </w:r>
      <w:r w:rsidR="00277F25">
        <w:t xml:space="preserve"> purpose of the REP </w:t>
      </w:r>
      <w:r w:rsidR="005C7A99">
        <w:t xml:space="preserve">– subject to statutory limitations – </w:t>
      </w:r>
      <w:r w:rsidR="00E13C0C">
        <w:t>is</w:t>
      </w:r>
      <w:r w:rsidR="00277F25">
        <w:t xml:space="preserve"> to reduce retail rate disparity </w:t>
      </w:r>
      <w:r w:rsidR="005C7A99">
        <w:t>between</w:t>
      </w:r>
      <w:r w:rsidR="00277F25">
        <w:t xml:space="preserve"> </w:t>
      </w:r>
      <w:r w:rsidR="00400756">
        <w:t>residential and small farm customers</w:t>
      </w:r>
      <w:r w:rsidR="00B32A9B">
        <w:t xml:space="preserve"> </w:t>
      </w:r>
      <w:r w:rsidR="0084527D">
        <w:t>regionwide</w:t>
      </w:r>
      <w:r w:rsidR="006E2581">
        <w:t>.</w:t>
      </w:r>
      <w:r w:rsidR="00B32A9B">
        <w:t xml:space="preserve">  </w:t>
      </w:r>
      <w:r w:rsidR="008F0082">
        <w:t>To</w:t>
      </w:r>
      <w:r w:rsidR="00B32A9B">
        <w:t xml:space="preserve"> the extent </w:t>
      </w:r>
      <w:r w:rsidR="003D2612">
        <w:t>R</w:t>
      </w:r>
      <w:r w:rsidR="0032162B">
        <w:t xml:space="preserve">egulatory </w:t>
      </w:r>
      <w:r w:rsidR="003D2612">
        <w:t>B</w:t>
      </w:r>
      <w:r w:rsidR="00365413">
        <w:t>ody</w:t>
      </w:r>
      <w:r w:rsidR="003D2612">
        <w:t>(</w:t>
      </w:r>
      <w:proofErr w:type="spellStart"/>
      <w:r w:rsidR="003D3F22">
        <w:t>ies</w:t>
      </w:r>
      <w:proofErr w:type="spellEnd"/>
      <w:r w:rsidR="003D2612">
        <w:t>)</w:t>
      </w:r>
      <w:r w:rsidR="008F0082">
        <w:t xml:space="preserve"> </w:t>
      </w:r>
      <w:r w:rsidR="00B97A07">
        <w:t xml:space="preserve">direct </w:t>
      </w:r>
      <w:r w:rsidR="000D69C1">
        <w:t>costs to be borne by shareholders as opposed to rate payers</w:t>
      </w:r>
      <w:r w:rsidR="00066C93">
        <w:t xml:space="preserve"> –</w:t>
      </w:r>
      <w:r w:rsidR="005C0256">
        <w:t xml:space="preserve"> by disallowing costs</w:t>
      </w:r>
      <w:r w:rsidR="00066C93">
        <w:t xml:space="preserve"> –</w:t>
      </w:r>
      <w:r w:rsidR="005C0256">
        <w:t xml:space="preserve"> </w:t>
      </w:r>
      <w:r w:rsidR="00B97A07">
        <w:t>th</w:t>
      </w:r>
      <w:r w:rsidR="000243EA">
        <w:t xml:space="preserve">ere is no reason </w:t>
      </w:r>
      <w:r w:rsidR="00DB4F07">
        <w:t xml:space="preserve">REP payers </w:t>
      </w:r>
      <w:r w:rsidR="001457F7">
        <w:t>should</w:t>
      </w:r>
      <w:r w:rsidR="00DB4F07">
        <w:t xml:space="preserve"> </w:t>
      </w:r>
      <w:r w:rsidR="005D766E">
        <w:t>subsidize</w:t>
      </w:r>
      <w:r w:rsidR="00DA635F">
        <w:t xml:space="preserve"> costs</w:t>
      </w:r>
      <w:r w:rsidR="00447263">
        <w:t xml:space="preserve"> </w:t>
      </w:r>
      <w:r w:rsidR="000B74C2">
        <w:t xml:space="preserve">that </w:t>
      </w:r>
      <w:r w:rsidR="0046563D">
        <w:t>have been excluded from retail</w:t>
      </w:r>
      <w:r w:rsidR="000B74C2">
        <w:t xml:space="preserve"> rates</w:t>
      </w:r>
      <w:r w:rsidR="005A7332">
        <w:t>.</w:t>
      </w:r>
      <w:r w:rsidR="000B74C2">
        <w:t xml:space="preserve">  </w:t>
      </w:r>
      <w:r w:rsidR="00CC26C7">
        <w:t>T</w:t>
      </w:r>
      <w:r w:rsidR="009753CD">
        <w:t>he prospect of u</w:t>
      </w:r>
      <w:r w:rsidR="00511FFC">
        <w:t xml:space="preserve">nrecoverable costs decreasing earnings </w:t>
      </w:r>
      <w:r w:rsidR="00C42184">
        <w:t xml:space="preserve">is </w:t>
      </w:r>
      <w:r w:rsidR="00B34351">
        <w:t>part</w:t>
      </w:r>
      <w:r w:rsidR="003C1A6D">
        <w:t xml:space="preserve"> of the regulatory risk</w:t>
      </w:r>
      <w:r w:rsidR="00511FFC">
        <w:t xml:space="preserve"> </w:t>
      </w:r>
      <w:r w:rsidR="004D5D0E">
        <w:t>equity investors</w:t>
      </w:r>
      <w:r w:rsidR="0073291F">
        <w:t xml:space="preserve"> </w:t>
      </w:r>
      <w:r w:rsidR="0004020C">
        <w:t>readily accept</w:t>
      </w:r>
      <w:r w:rsidR="000E579E">
        <w:t xml:space="preserve"> </w:t>
      </w:r>
      <w:r w:rsidR="0073291F">
        <w:t xml:space="preserve">in </w:t>
      </w:r>
      <w:r w:rsidR="00A26198">
        <w:t>exchange for</w:t>
      </w:r>
      <w:r w:rsidR="0073291F">
        <w:t xml:space="preserve"> </w:t>
      </w:r>
      <w:r w:rsidR="00745665">
        <w:t xml:space="preserve">higher </w:t>
      </w:r>
      <w:r w:rsidR="005B12E9">
        <w:t xml:space="preserve">expected </w:t>
      </w:r>
      <w:r w:rsidR="00807088">
        <w:t>returns</w:t>
      </w:r>
      <w:r w:rsidR="00745665">
        <w:t xml:space="preserve">.  </w:t>
      </w:r>
      <w:r w:rsidR="005C7B13">
        <w:t xml:space="preserve">If </w:t>
      </w:r>
      <w:r w:rsidR="00AC700F">
        <w:t>IOUs</w:t>
      </w:r>
      <w:r w:rsidR="005C7B13">
        <w:t xml:space="preserve"> are allowed to include their equity inflated </w:t>
      </w:r>
      <w:r w:rsidR="00662E6A">
        <w:t>weighted cost of capital (</w:t>
      </w:r>
      <w:r w:rsidR="005C7B13">
        <w:t>WCC</w:t>
      </w:r>
      <w:r w:rsidR="00662E6A">
        <w:t>)</w:t>
      </w:r>
      <w:r w:rsidR="000B41A9">
        <w:t xml:space="preserve"> in ASC development</w:t>
      </w:r>
      <w:r w:rsidR="005F7FB5">
        <w:t>,</w:t>
      </w:r>
      <w:r w:rsidR="000B41A9">
        <w:t xml:space="preserve"> </w:t>
      </w:r>
      <w:r w:rsidR="005F7FB5">
        <w:t xml:space="preserve">then </w:t>
      </w:r>
      <w:r w:rsidR="00156BD2">
        <w:t xml:space="preserve">regulatory orders </w:t>
      </w:r>
      <w:r w:rsidR="004262D5">
        <w:t>providing</w:t>
      </w:r>
      <w:r w:rsidR="00922E66">
        <w:t xml:space="preserve"> the counterbalance </w:t>
      </w:r>
      <w:proofErr w:type="gramStart"/>
      <w:r w:rsidR="00922E66">
        <w:t>actually experienced</w:t>
      </w:r>
      <w:proofErr w:type="gramEnd"/>
      <w:r w:rsidR="00922E66">
        <w:t xml:space="preserve"> </w:t>
      </w:r>
      <w:r w:rsidR="00F56FDC">
        <w:t>by</w:t>
      </w:r>
      <w:r w:rsidR="002E7535">
        <w:t xml:space="preserve"> IOU</w:t>
      </w:r>
      <w:r w:rsidR="00F56FDC">
        <w:t xml:space="preserve"> ratepayers </w:t>
      </w:r>
      <w:r w:rsidR="003128AC">
        <w:t xml:space="preserve">should </w:t>
      </w:r>
      <w:r w:rsidR="001F22B0">
        <w:t xml:space="preserve">likewise </w:t>
      </w:r>
      <w:r w:rsidR="003128AC">
        <w:t xml:space="preserve">be </w:t>
      </w:r>
      <w:r w:rsidR="001E1E1F">
        <w:t xml:space="preserve">fully </w:t>
      </w:r>
      <w:r w:rsidR="009F38E9">
        <w:t>incorporated.</w:t>
      </w:r>
      <w:r w:rsidR="000E72FD">
        <w:t xml:space="preserve">  </w:t>
      </w:r>
    </w:p>
    <w:p w14:paraId="10878870" w14:textId="77777777" w:rsidR="00CC5290" w:rsidRDefault="00CC5290" w:rsidP="0026655F">
      <w:pPr>
        <w:spacing w:after="0"/>
      </w:pPr>
    </w:p>
    <w:p w14:paraId="070EF6B1" w14:textId="0FE4878B" w:rsidR="00323740" w:rsidRDefault="00276945" w:rsidP="0026655F">
      <w:pPr>
        <w:spacing w:after="0"/>
      </w:pPr>
      <w:r>
        <w:lastRenderedPageBreak/>
        <w:t>Moreover</w:t>
      </w:r>
      <w:r w:rsidR="005A7332">
        <w:t>,</w:t>
      </w:r>
      <w:r w:rsidR="001B38B1">
        <w:t xml:space="preserve"> </w:t>
      </w:r>
      <w:r w:rsidR="00F566D0">
        <w:t xml:space="preserve">the COUs believe that </w:t>
      </w:r>
      <w:r w:rsidR="001B38B1">
        <w:t xml:space="preserve">BPA’s proposed escalation codes </w:t>
      </w:r>
      <w:r w:rsidR="000E1BBC">
        <w:t>gross up IOU</w:t>
      </w:r>
      <w:r w:rsidR="005A7332">
        <w:t>s</w:t>
      </w:r>
      <w:r w:rsidR="00595301">
        <w:t>’</w:t>
      </w:r>
      <w:r w:rsidR="000E1BBC">
        <w:t xml:space="preserve"> ASCs</w:t>
      </w:r>
      <w:r w:rsidR="006F5472">
        <w:t xml:space="preserve">, on a forecast basis, </w:t>
      </w:r>
      <w:r w:rsidR="00DE3E2A">
        <w:t>similarly</w:t>
      </w:r>
      <w:r w:rsidR="000E1BBC">
        <w:t xml:space="preserve"> </w:t>
      </w:r>
      <w:r w:rsidR="00DE3E2A">
        <w:t>to</w:t>
      </w:r>
      <w:r w:rsidR="00766DF5">
        <w:t xml:space="preserve"> the</w:t>
      </w:r>
      <w:r w:rsidR="000E1BBC">
        <w:t xml:space="preserve"> </w:t>
      </w:r>
      <w:r w:rsidR="00C64D33">
        <w:t>‘</w:t>
      </w:r>
      <w:r w:rsidR="004037F9">
        <w:t>p</w:t>
      </w:r>
      <w:r w:rsidR="000E1BBC" w:rsidRPr="00C64D33">
        <w:t xml:space="preserve">ro </w:t>
      </w:r>
      <w:r w:rsidR="004037F9">
        <w:t>f</w:t>
      </w:r>
      <w:r w:rsidR="000E1BBC" w:rsidRPr="00C64D33">
        <w:t>orma</w:t>
      </w:r>
      <w:r w:rsidR="00C64D33">
        <w:t>’</w:t>
      </w:r>
      <w:r w:rsidR="000E1BBC">
        <w:t xml:space="preserve"> adjustments </w:t>
      </w:r>
      <w:r w:rsidR="002C19CB">
        <w:t xml:space="preserve">that are </w:t>
      </w:r>
      <w:r w:rsidR="00E827EF">
        <w:t>frequently</w:t>
      </w:r>
      <w:r w:rsidR="002C19CB">
        <w:t xml:space="preserve"> </w:t>
      </w:r>
      <w:r w:rsidR="00F94E8E">
        <w:t xml:space="preserve">ordered by </w:t>
      </w:r>
      <w:r w:rsidR="00C548BA">
        <w:t xml:space="preserve">regulatory </w:t>
      </w:r>
      <w:r w:rsidR="00F94E8E">
        <w:t xml:space="preserve">commissions.  </w:t>
      </w:r>
      <w:r w:rsidR="007A428A">
        <w:t>If disallowed costs</w:t>
      </w:r>
      <w:r w:rsidR="00615137">
        <w:t xml:space="preserve"> –</w:t>
      </w:r>
      <w:r w:rsidR="003A1A70">
        <w:t xml:space="preserve"> the primary downward adjustment</w:t>
      </w:r>
      <w:r w:rsidR="00615137">
        <w:t xml:space="preserve"> – </w:t>
      </w:r>
      <w:r w:rsidR="007A428A">
        <w:t xml:space="preserve">are </w:t>
      </w:r>
      <w:r w:rsidR="00D845B2">
        <w:t xml:space="preserve">not identified and </w:t>
      </w:r>
      <w:r w:rsidR="002C19CB">
        <w:t>excluded</w:t>
      </w:r>
      <w:r w:rsidR="00746590">
        <w:t xml:space="preserve"> in developing </w:t>
      </w:r>
      <w:r w:rsidR="0039777B">
        <w:t>ASCs</w:t>
      </w:r>
      <w:r w:rsidR="002C19CB">
        <w:t>,</w:t>
      </w:r>
      <w:r w:rsidR="00D845B2">
        <w:t xml:space="preserve"> then the analysis will </w:t>
      </w:r>
      <w:r w:rsidR="007801F1">
        <w:t xml:space="preserve">only capture the upward adjustments </w:t>
      </w:r>
      <w:r w:rsidR="00CA4396">
        <w:t>omitting</w:t>
      </w:r>
      <w:r w:rsidR="005B7632">
        <w:t xml:space="preserve"> </w:t>
      </w:r>
      <w:r w:rsidR="002C4BB5">
        <w:t xml:space="preserve">the actions regulators </w:t>
      </w:r>
      <w:r w:rsidR="00B15B3A">
        <w:t>take</w:t>
      </w:r>
      <w:r w:rsidR="00AD66AE">
        <w:t xml:space="preserve"> to </w:t>
      </w:r>
      <w:r w:rsidR="006C0A33">
        <w:t>protect ratepayers</w:t>
      </w:r>
      <w:r w:rsidR="00B15B3A">
        <w:t>.</w:t>
      </w:r>
    </w:p>
    <w:p w14:paraId="61AA85A7" w14:textId="77777777" w:rsidR="00ED3440" w:rsidRDefault="00ED3440" w:rsidP="0026655F">
      <w:pPr>
        <w:spacing w:after="0"/>
      </w:pPr>
    </w:p>
    <w:p w14:paraId="60373C46" w14:textId="50D5F1BF" w:rsidR="00ED3440" w:rsidRDefault="00ED3440" w:rsidP="0026655F">
      <w:pPr>
        <w:spacing w:after="0"/>
      </w:pPr>
      <w:r w:rsidRPr="00CD7AAB">
        <w:t xml:space="preserve">The </w:t>
      </w:r>
      <w:r>
        <w:t>WUTC and OPUC</w:t>
      </w:r>
      <w:r w:rsidRPr="00CD7AAB">
        <w:t xml:space="preserve"> have annual “Commission Basis” reporting requirement for the purpose of tracking electric utility actual “Commission Basis” results of operations after each FERC accounting year.  These annual reporting requirements are to reflect the utility’s actual results of operations adjusted for Commission ordered disallowances.  These reporting requirements should be leveraged and will not require BPA to return to the burdensome jurisdictional approach</w:t>
      </w:r>
      <w:r w:rsidR="00CB4F2A">
        <w:t>.</w:t>
      </w:r>
    </w:p>
    <w:p w14:paraId="2ACF83BF" w14:textId="77777777" w:rsidR="00472A3C" w:rsidRDefault="00472A3C" w:rsidP="0026655F">
      <w:pPr>
        <w:spacing w:after="0"/>
      </w:pPr>
    </w:p>
    <w:p w14:paraId="72C75E2A" w14:textId="02FC2BD8" w:rsidR="002905A8" w:rsidRPr="000C52C7" w:rsidRDefault="002905A8" w:rsidP="0026655F">
      <w:pPr>
        <w:spacing w:after="0"/>
        <w:rPr>
          <w:i/>
          <w:iCs/>
        </w:rPr>
      </w:pPr>
      <w:r w:rsidRPr="000C52C7">
        <w:rPr>
          <w:i/>
          <w:iCs/>
        </w:rPr>
        <w:t>Return on Equity</w:t>
      </w:r>
    </w:p>
    <w:p w14:paraId="418D74F1" w14:textId="77777777" w:rsidR="000C52C7" w:rsidRDefault="000C52C7" w:rsidP="0026655F">
      <w:pPr>
        <w:spacing w:after="0"/>
      </w:pPr>
    </w:p>
    <w:p w14:paraId="1EF3670E" w14:textId="38E02437" w:rsidR="00CD310F" w:rsidRDefault="00CD310F" w:rsidP="00CD310F">
      <w:pPr>
        <w:spacing w:after="0"/>
      </w:pPr>
      <w:r>
        <w:t xml:space="preserve">If BPA does not exclude disallowed costs from IOU ASCs as suggested above, then BPA should reexamine the rate of return allowed on the IOU capital structure to align returns with regulatory risk.  BPA could easily effectuate this change by removing </w:t>
      </w:r>
      <w:r>
        <w:rPr>
          <w:rFonts w:cs="Times New Roman"/>
        </w:rPr>
        <w:t>§</w:t>
      </w:r>
      <w:r>
        <w:t>301.</w:t>
      </w:r>
      <w:proofErr w:type="gramStart"/>
      <w:r>
        <w:t>4.o.</w:t>
      </w:r>
      <w:proofErr w:type="gramEnd"/>
      <w:r>
        <w:t xml:space="preserve">1-3 from the ASCM and adding language </w:t>
      </w:r>
      <w:proofErr w:type="gramStart"/>
      <w:r>
        <w:t>similar to</w:t>
      </w:r>
      <w:proofErr w:type="gramEnd"/>
      <w:r>
        <w:t xml:space="preserve"> footnote </w:t>
      </w:r>
      <w:r w:rsidRPr="00BD7103">
        <w:rPr>
          <w:u w:val="single"/>
        </w:rPr>
        <w:t>d</w:t>
      </w:r>
      <w:r w:rsidR="00F8110F">
        <w:t>/</w:t>
      </w:r>
      <w:r>
        <w:t xml:space="preserve"> of the 1984 ASCM.                      </w:t>
      </w:r>
    </w:p>
    <w:p w14:paraId="7AC54858" w14:textId="77777777" w:rsidR="00CD310F" w:rsidRDefault="00CD310F" w:rsidP="00CD310F">
      <w:pPr>
        <w:spacing w:after="0"/>
      </w:pPr>
    </w:p>
    <w:p w14:paraId="7D754403" w14:textId="77777777" w:rsidR="00CD310F" w:rsidRDefault="00CD310F" w:rsidP="00CD310F">
      <w:pPr>
        <w:spacing w:after="0"/>
      </w:pPr>
      <w:r>
        <w:rPr>
          <w:noProof/>
        </w:rPr>
        <w:drawing>
          <wp:inline distT="0" distB="0" distL="0" distR="0" wp14:anchorId="17FDC192" wp14:editId="7CF7BAA7">
            <wp:extent cx="6283155" cy="570586"/>
            <wp:effectExtent l="0" t="0" r="3810" b="1270"/>
            <wp:docPr id="1077503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503688" name=""/>
                    <pic:cNvPicPr/>
                  </pic:nvPicPr>
                  <pic:blipFill>
                    <a:blip r:embed="rId13"/>
                    <a:stretch>
                      <a:fillRect/>
                    </a:stretch>
                  </pic:blipFill>
                  <pic:spPr>
                    <a:xfrm>
                      <a:off x="0" y="0"/>
                      <a:ext cx="6329092" cy="574758"/>
                    </a:xfrm>
                    <a:prstGeom prst="rect">
                      <a:avLst/>
                    </a:prstGeom>
                  </pic:spPr>
                </pic:pic>
              </a:graphicData>
            </a:graphic>
          </wp:inline>
        </w:drawing>
      </w:r>
    </w:p>
    <w:p w14:paraId="16BF2499" w14:textId="77777777" w:rsidR="00CD310F" w:rsidRDefault="00CD310F" w:rsidP="00CD310F">
      <w:pPr>
        <w:spacing w:after="0"/>
      </w:pPr>
      <w:r>
        <w:rPr>
          <w:noProof/>
        </w:rPr>
        <w:drawing>
          <wp:inline distT="0" distB="0" distL="0" distR="0" wp14:anchorId="46C096D9" wp14:editId="6567D82C">
            <wp:extent cx="6190202" cy="958291"/>
            <wp:effectExtent l="0" t="0" r="1270" b="0"/>
            <wp:docPr id="312965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965129" name=""/>
                    <pic:cNvPicPr/>
                  </pic:nvPicPr>
                  <pic:blipFill>
                    <a:blip r:embed="rId14"/>
                    <a:stretch>
                      <a:fillRect/>
                    </a:stretch>
                  </pic:blipFill>
                  <pic:spPr>
                    <a:xfrm>
                      <a:off x="0" y="0"/>
                      <a:ext cx="6229027" cy="964301"/>
                    </a:xfrm>
                    <a:prstGeom prst="rect">
                      <a:avLst/>
                    </a:prstGeom>
                  </pic:spPr>
                </pic:pic>
              </a:graphicData>
            </a:graphic>
          </wp:inline>
        </w:drawing>
      </w:r>
    </w:p>
    <w:p w14:paraId="3CCD43DC" w14:textId="77777777" w:rsidR="00CD310F" w:rsidRDefault="00CD310F" w:rsidP="0026655F">
      <w:pPr>
        <w:spacing w:after="0"/>
      </w:pPr>
    </w:p>
    <w:p w14:paraId="4B8C34C3" w14:textId="00A45E96" w:rsidR="00737957" w:rsidRDefault="0087704B" w:rsidP="0026655F">
      <w:pPr>
        <w:spacing w:after="0"/>
      </w:pPr>
      <w:r>
        <w:t xml:space="preserve">The COU’s </w:t>
      </w:r>
      <w:r w:rsidR="00BC008A">
        <w:t>appreciate your consideration of these comments.</w:t>
      </w:r>
    </w:p>
    <w:p w14:paraId="30F53B8C" w14:textId="77777777" w:rsidR="002F67A3" w:rsidRDefault="002F67A3" w:rsidP="0026655F">
      <w:pPr>
        <w:spacing w:after="0"/>
      </w:pPr>
    </w:p>
    <w:p w14:paraId="111CA44B" w14:textId="2045C8E1" w:rsidR="001650B2" w:rsidRDefault="001650B2" w:rsidP="0026655F">
      <w:pPr>
        <w:spacing w:after="0"/>
      </w:pPr>
    </w:p>
    <w:sectPr w:rsidR="001650B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BD735" w14:textId="77777777" w:rsidR="00595849" w:rsidRDefault="00595849" w:rsidP="00FD6339">
      <w:pPr>
        <w:spacing w:after="0" w:line="240" w:lineRule="auto"/>
      </w:pPr>
      <w:r>
        <w:separator/>
      </w:r>
    </w:p>
  </w:endnote>
  <w:endnote w:type="continuationSeparator" w:id="0">
    <w:p w14:paraId="6C5506DF" w14:textId="77777777" w:rsidR="00595849" w:rsidRDefault="00595849" w:rsidP="00FD6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F8E1" w14:textId="77777777" w:rsidR="002634AE" w:rsidRDefault="00263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8AE10" w14:textId="77777777" w:rsidR="002634AE" w:rsidRDefault="002634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AD9E" w14:textId="77777777" w:rsidR="002634AE" w:rsidRDefault="00263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1BEC7" w14:textId="77777777" w:rsidR="00595849" w:rsidRDefault="00595849" w:rsidP="00FD6339">
      <w:pPr>
        <w:spacing w:after="0" w:line="240" w:lineRule="auto"/>
      </w:pPr>
      <w:r>
        <w:separator/>
      </w:r>
    </w:p>
  </w:footnote>
  <w:footnote w:type="continuationSeparator" w:id="0">
    <w:p w14:paraId="02709C3F" w14:textId="77777777" w:rsidR="00595849" w:rsidRDefault="00595849" w:rsidP="00FD6339">
      <w:pPr>
        <w:spacing w:after="0" w:line="240" w:lineRule="auto"/>
      </w:pPr>
      <w:r>
        <w:continuationSeparator/>
      </w:r>
    </w:p>
  </w:footnote>
  <w:footnote w:id="1">
    <w:p w14:paraId="051C80D8" w14:textId="47519DD0" w:rsidR="0035210D" w:rsidRDefault="0035210D">
      <w:pPr>
        <w:pStyle w:val="FootnoteText"/>
      </w:pPr>
      <w:r>
        <w:rPr>
          <w:rStyle w:val="FootnoteReference"/>
        </w:rPr>
        <w:footnoteRef/>
      </w:r>
      <w:r>
        <w:t xml:space="preserve"> </w:t>
      </w:r>
      <w:r w:rsidR="005E4A2F">
        <w:t>Consistent with the requirements of</w:t>
      </w:r>
      <w:r>
        <w:t xml:space="preserve"> </w:t>
      </w:r>
      <w:hyperlink r:id="rId1" w:history="1">
        <w:r w:rsidRPr="00FB0976">
          <w:rPr>
            <w:rStyle w:val="Hyperlink"/>
          </w:rPr>
          <w:t>WAC 480-100-257</w:t>
        </w:r>
      </w:hyperlink>
      <w:r>
        <w:t xml:space="preserve"> and </w:t>
      </w:r>
      <w:hyperlink r:id="rId2" w:history="1">
        <w:r w:rsidR="005E4A2F" w:rsidRPr="001C1D2E">
          <w:rPr>
            <w:rStyle w:val="Hyperlink"/>
          </w:rPr>
          <w:t>WAC 480-07-510</w:t>
        </w:r>
      </w:hyperlink>
      <w:r w:rsidR="005E4A2F">
        <w:t xml:space="preserve"> </w:t>
      </w:r>
      <w:r w:rsidR="00207332">
        <w:t>for WUTC regulated utilities</w:t>
      </w:r>
      <w:r w:rsidR="0039503C">
        <w:t xml:space="preserve">, </w:t>
      </w:r>
      <w:hyperlink r:id="rId3" w:tooltip="https://urldefense.com/v3/__https:/secure.sos.state.or.us/oard/viewSingleRule.action?ruleVrsnRsn=221512__;!!CRCbkf1f!VF5Zyo20ctI3N-1um2v8A_rywVmTssYHP3PaKuLpeovogfjFZNG5-SdrSYTv28N2lX3f1kHJruupogAIFgG2$" w:history="1">
        <w:r w:rsidR="00096F29" w:rsidRPr="00096F29">
          <w:rPr>
            <w:rStyle w:val="Hyperlink"/>
          </w:rPr>
          <w:t>OAR 860-027-0070</w:t>
        </w:r>
      </w:hyperlink>
      <w:r w:rsidR="00096F29">
        <w:t xml:space="preserve"> for OPUC regulated utilities,</w:t>
      </w:r>
      <w:r w:rsidR="003D5CFE">
        <w:t xml:space="preserve"> </w:t>
      </w:r>
      <w:r w:rsidR="006A746A">
        <w:t xml:space="preserve">or </w:t>
      </w:r>
      <w:r w:rsidR="00FF23D7">
        <w:t>analogous</w:t>
      </w:r>
      <w:r w:rsidR="006A746A">
        <w:t xml:space="preserve"> requirements </w:t>
      </w:r>
      <w:r w:rsidR="00B50404">
        <w:t>in other regulatory jurisdictions</w:t>
      </w:r>
      <w:r w:rsidR="005E4A2F">
        <w:t>.</w:t>
      </w:r>
    </w:p>
  </w:footnote>
  <w:footnote w:id="2">
    <w:p w14:paraId="69EA7DC6" w14:textId="1D0B07A7" w:rsidR="00F54D5C" w:rsidRDefault="00F54D5C">
      <w:pPr>
        <w:pStyle w:val="FootnoteText"/>
      </w:pPr>
      <w:r>
        <w:rPr>
          <w:rStyle w:val="FootnoteReference"/>
        </w:rPr>
        <w:footnoteRef/>
      </w:r>
      <w:r>
        <w:t xml:space="preserve"> </w:t>
      </w:r>
      <w:r w:rsidR="003E1541">
        <w:t>House Report (Interior) at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51B0" w14:textId="77777777" w:rsidR="002634AE" w:rsidRDefault="002634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4707" w14:textId="385FEB3D" w:rsidR="002634AE" w:rsidRDefault="002634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5EB9" w14:textId="77777777" w:rsidR="002634AE" w:rsidRDefault="00263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679BF"/>
    <w:multiLevelType w:val="hybridMultilevel"/>
    <w:tmpl w:val="0C0EE324"/>
    <w:lvl w:ilvl="0" w:tplc="8516441A">
      <w:start w:val="2028"/>
      <w:numFmt w:val="bullet"/>
      <w:lvlText w:val=""/>
      <w:lvlJc w:val="left"/>
      <w:pPr>
        <w:ind w:left="720" w:hanging="360"/>
      </w:pPr>
      <w:rPr>
        <w:rFonts w:ascii="Symbol" w:eastAsia="Cambr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565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A5"/>
    <w:rsid w:val="000027CE"/>
    <w:rsid w:val="00005343"/>
    <w:rsid w:val="00006F39"/>
    <w:rsid w:val="000106AA"/>
    <w:rsid w:val="00010E6B"/>
    <w:rsid w:val="00011D60"/>
    <w:rsid w:val="00016657"/>
    <w:rsid w:val="00017BE0"/>
    <w:rsid w:val="000243EA"/>
    <w:rsid w:val="0002691D"/>
    <w:rsid w:val="000323A9"/>
    <w:rsid w:val="00033C6F"/>
    <w:rsid w:val="0004020C"/>
    <w:rsid w:val="0004027A"/>
    <w:rsid w:val="00040939"/>
    <w:rsid w:val="00040A8E"/>
    <w:rsid w:val="000411FE"/>
    <w:rsid w:val="0004469A"/>
    <w:rsid w:val="00046073"/>
    <w:rsid w:val="000460B0"/>
    <w:rsid w:val="00047C99"/>
    <w:rsid w:val="00052090"/>
    <w:rsid w:val="00057E38"/>
    <w:rsid w:val="00064058"/>
    <w:rsid w:val="00066C93"/>
    <w:rsid w:val="00072B1D"/>
    <w:rsid w:val="00084103"/>
    <w:rsid w:val="0008441F"/>
    <w:rsid w:val="00090507"/>
    <w:rsid w:val="00094D04"/>
    <w:rsid w:val="0009582E"/>
    <w:rsid w:val="00095C2B"/>
    <w:rsid w:val="0009698D"/>
    <w:rsid w:val="00096F29"/>
    <w:rsid w:val="000A28BF"/>
    <w:rsid w:val="000A3C2D"/>
    <w:rsid w:val="000A67E9"/>
    <w:rsid w:val="000B3245"/>
    <w:rsid w:val="000B404C"/>
    <w:rsid w:val="000B41A9"/>
    <w:rsid w:val="000B452C"/>
    <w:rsid w:val="000B5032"/>
    <w:rsid w:val="000B74C2"/>
    <w:rsid w:val="000C1895"/>
    <w:rsid w:val="000C38E2"/>
    <w:rsid w:val="000C52C7"/>
    <w:rsid w:val="000C6FFB"/>
    <w:rsid w:val="000D0C7F"/>
    <w:rsid w:val="000D3CB1"/>
    <w:rsid w:val="000D69C1"/>
    <w:rsid w:val="000D726E"/>
    <w:rsid w:val="000E1BBC"/>
    <w:rsid w:val="000E37AA"/>
    <w:rsid w:val="000E579E"/>
    <w:rsid w:val="000E72FD"/>
    <w:rsid w:val="000E7BE0"/>
    <w:rsid w:val="000F2464"/>
    <w:rsid w:val="000F583E"/>
    <w:rsid w:val="0010028F"/>
    <w:rsid w:val="0010309C"/>
    <w:rsid w:val="0010452F"/>
    <w:rsid w:val="00110F22"/>
    <w:rsid w:val="001112DD"/>
    <w:rsid w:val="00112F11"/>
    <w:rsid w:val="00115CEF"/>
    <w:rsid w:val="00115D36"/>
    <w:rsid w:val="00123E65"/>
    <w:rsid w:val="001254BF"/>
    <w:rsid w:val="00130CFB"/>
    <w:rsid w:val="00132733"/>
    <w:rsid w:val="001349A2"/>
    <w:rsid w:val="00136CB7"/>
    <w:rsid w:val="001374A9"/>
    <w:rsid w:val="00141474"/>
    <w:rsid w:val="001414F8"/>
    <w:rsid w:val="00142336"/>
    <w:rsid w:val="00142805"/>
    <w:rsid w:val="001457F7"/>
    <w:rsid w:val="0014643B"/>
    <w:rsid w:val="00151719"/>
    <w:rsid w:val="00156BD2"/>
    <w:rsid w:val="00157A1B"/>
    <w:rsid w:val="00161AC4"/>
    <w:rsid w:val="00163994"/>
    <w:rsid w:val="00164FED"/>
    <w:rsid w:val="001650B2"/>
    <w:rsid w:val="0016793F"/>
    <w:rsid w:val="00175CC6"/>
    <w:rsid w:val="00181498"/>
    <w:rsid w:val="00184A10"/>
    <w:rsid w:val="00185584"/>
    <w:rsid w:val="00186510"/>
    <w:rsid w:val="001865B6"/>
    <w:rsid w:val="00187B77"/>
    <w:rsid w:val="00187E3A"/>
    <w:rsid w:val="00191D4F"/>
    <w:rsid w:val="00192FF5"/>
    <w:rsid w:val="00194E1B"/>
    <w:rsid w:val="00195135"/>
    <w:rsid w:val="00196654"/>
    <w:rsid w:val="001973F1"/>
    <w:rsid w:val="001A14E4"/>
    <w:rsid w:val="001A16C4"/>
    <w:rsid w:val="001A2A42"/>
    <w:rsid w:val="001A321C"/>
    <w:rsid w:val="001A5A0D"/>
    <w:rsid w:val="001A6183"/>
    <w:rsid w:val="001A7FD8"/>
    <w:rsid w:val="001B2CD2"/>
    <w:rsid w:val="001B3681"/>
    <w:rsid w:val="001B38B1"/>
    <w:rsid w:val="001B6315"/>
    <w:rsid w:val="001C1AB0"/>
    <w:rsid w:val="001C1D2E"/>
    <w:rsid w:val="001C2FE8"/>
    <w:rsid w:val="001C3C45"/>
    <w:rsid w:val="001D188D"/>
    <w:rsid w:val="001D243E"/>
    <w:rsid w:val="001D2872"/>
    <w:rsid w:val="001D650B"/>
    <w:rsid w:val="001E1A28"/>
    <w:rsid w:val="001E1E1F"/>
    <w:rsid w:val="001E1EE9"/>
    <w:rsid w:val="001E6FF9"/>
    <w:rsid w:val="001E7FAD"/>
    <w:rsid w:val="001F1324"/>
    <w:rsid w:val="001F22B0"/>
    <w:rsid w:val="001F2360"/>
    <w:rsid w:val="001F4D42"/>
    <w:rsid w:val="00201DB6"/>
    <w:rsid w:val="00202626"/>
    <w:rsid w:val="00202D4A"/>
    <w:rsid w:val="00207332"/>
    <w:rsid w:val="00207C81"/>
    <w:rsid w:val="00216C70"/>
    <w:rsid w:val="00217F19"/>
    <w:rsid w:val="00223906"/>
    <w:rsid w:val="00225A93"/>
    <w:rsid w:val="002265A9"/>
    <w:rsid w:val="002271AA"/>
    <w:rsid w:val="0023519D"/>
    <w:rsid w:val="00240FDE"/>
    <w:rsid w:val="00247D64"/>
    <w:rsid w:val="00250B3E"/>
    <w:rsid w:val="0025328A"/>
    <w:rsid w:val="002549D3"/>
    <w:rsid w:val="0026303C"/>
    <w:rsid w:val="002634AE"/>
    <w:rsid w:val="00264A88"/>
    <w:rsid w:val="0026655F"/>
    <w:rsid w:val="00266678"/>
    <w:rsid w:val="0027025A"/>
    <w:rsid w:val="00270A98"/>
    <w:rsid w:val="0027163F"/>
    <w:rsid w:val="002739AE"/>
    <w:rsid w:val="002744BF"/>
    <w:rsid w:val="00275EB9"/>
    <w:rsid w:val="00276945"/>
    <w:rsid w:val="0027699C"/>
    <w:rsid w:val="00276C3B"/>
    <w:rsid w:val="002772FC"/>
    <w:rsid w:val="00277F25"/>
    <w:rsid w:val="0028112C"/>
    <w:rsid w:val="00286F66"/>
    <w:rsid w:val="002905A8"/>
    <w:rsid w:val="00292BEB"/>
    <w:rsid w:val="002937B1"/>
    <w:rsid w:val="002A0AAE"/>
    <w:rsid w:val="002A243F"/>
    <w:rsid w:val="002A50FC"/>
    <w:rsid w:val="002A7113"/>
    <w:rsid w:val="002A7D22"/>
    <w:rsid w:val="002B0377"/>
    <w:rsid w:val="002B2001"/>
    <w:rsid w:val="002B4CCD"/>
    <w:rsid w:val="002B5954"/>
    <w:rsid w:val="002B66D9"/>
    <w:rsid w:val="002C0650"/>
    <w:rsid w:val="002C19CB"/>
    <w:rsid w:val="002C22B6"/>
    <w:rsid w:val="002C2582"/>
    <w:rsid w:val="002C32F5"/>
    <w:rsid w:val="002C42D1"/>
    <w:rsid w:val="002C4BB5"/>
    <w:rsid w:val="002C5E47"/>
    <w:rsid w:val="002D17AE"/>
    <w:rsid w:val="002E4384"/>
    <w:rsid w:val="002E7535"/>
    <w:rsid w:val="002E75B8"/>
    <w:rsid w:val="002F05E5"/>
    <w:rsid w:val="002F3141"/>
    <w:rsid w:val="002F3A5C"/>
    <w:rsid w:val="002F4DB2"/>
    <w:rsid w:val="002F67A3"/>
    <w:rsid w:val="00300044"/>
    <w:rsid w:val="003076AC"/>
    <w:rsid w:val="003078C7"/>
    <w:rsid w:val="003128AC"/>
    <w:rsid w:val="00313485"/>
    <w:rsid w:val="00313F21"/>
    <w:rsid w:val="003165B5"/>
    <w:rsid w:val="0032162B"/>
    <w:rsid w:val="003228BE"/>
    <w:rsid w:val="00322F07"/>
    <w:rsid w:val="00323740"/>
    <w:rsid w:val="003278E8"/>
    <w:rsid w:val="00332EA7"/>
    <w:rsid w:val="00334FBD"/>
    <w:rsid w:val="003362D7"/>
    <w:rsid w:val="003379B5"/>
    <w:rsid w:val="0034480B"/>
    <w:rsid w:val="00351B42"/>
    <w:rsid w:val="0035210D"/>
    <w:rsid w:val="00352B54"/>
    <w:rsid w:val="00353E79"/>
    <w:rsid w:val="0035729A"/>
    <w:rsid w:val="0036081B"/>
    <w:rsid w:val="00360EF7"/>
    <w:rsid w:val="00363402"/>
    <w:rsid w:val="00363BF4"/>
    <w:rsid w:val="00364329"/>
    <w:rsid w:val="00364ACD"/>
    <w:rsid w:val="00365413"/>
    <w:rsid w:val="003658FF"/>
    <w:rsid w:val="00370553"/>
    <w:rsid w:val="00372D40"/>
    <w:rsid w:val="0038120B"/>
    <w:rsid w:val="00381DB5"/>
    <w:rsid w:val="00382AD4"/>
    <w:rsid w:val="003837D9"/>
    <w:rsid w:val="003847D1"/>
    <w:rsid w:val="003905CA"/>
    <w:rsid w:val="0039385E"/>
    <w:rsid w:val="00394BF4"/>
    <w:rsid w:val="0039503C"/>
    <w:rsid w:val="00395193"/>
    <w:rsid w:val="0039777B"/>
    <w:rsid w:val="003A0EEE"/>
    <w:rsid w:val="003A1A70"/>
    <w:rsid w:val="003A2D79"/>
    <w:rsid w:val="003A304D"/>
    <w:rsid w:val="003A38DF"/>
    <w:rsid w:val="003A5561"/>
    <w:rsid w:val="003A61BB"/>
    <w:rsid w:val="003B02B4"/>
    <w:rsid w:val="003B1DE5"/>
    <w:rsid w:val="003B2192"/>
    <w:rsid w:val="003B4F4F"/>
    <w:rsid w:val="003B63B5"/>
    <w:rsid w:val="003C049E"/>
    <w:rsid w:val="003C1A6D"/>
    <w:rsid w:val="003C2289"/>
    <w:rsid w:val="003C2894"/>
    <w:rsid w:val="003C49F5"/>
    <w:rsid w:val="003C576E"/>
    <w:rsid w:val="003C7F6A"/>
    <w:rsid w:val="003D0773"/>
    <w:rsid w:val="003D2612"/>
    <w:rsid w:val="003D2ECE"/>
    <w:rsid w:val="003D3F22"/>
    <w:rsid w:val="003D5CFE"/>
    <w:rsid w:val="003D68DD"/>
    <w:rsid w:val="003D6BF5"/>
    <w:rsid w:val="003E1541"/>
    <w:rsid w:val="003E1986"/>
    <w:rsid w:val="003E1E13"/>
    <w:rsid w:val="003E1EDF"/>
    <w:rsid w:val="003E2B44"/>
    <w:rsid w:val="003E43A6"/>
    <w:rsid w:val="003E7D12"/>
    <w:rsid w:val="003F2E65"/>
    <w:rsid w:val="003F3B35"/>
    <w:rsid w:val="003F5090"/>
    <w:rsid w:val="003F6B2F"/>
    <w:rsid w:val="003F6BBA"/>
    <w:rsid w:val="003F70B6"/>
    <w:rsid w:val="00400756"/>
    <w:rsid w:val="00400941"/>
    <w:rsid w:val="00401DF2"/>
    <w:rsid w:val="004037F9"/>
    <w:rsid w:val="004038C7"/>
    <w:rsid w:val="00406456"/>
    <w:rsid w:val="00407BA6"/>
    <w:rsid w:val="00412482"/>
    <w:rsid w:val="004124C1"/>
    <w:rsid w:val="00412D1F"/>
    <w:rsid w:val="00413992"/>
    <w:rsid w:val="00413DB7"/>
    <w:rsid w:val="00414168"/>
    <w:rsid w:val="00415B17"/>
    <w:rsid w:val="00420CD0"/>
    <w:rsid w:val="00420E90"/>
    <w:rsid w:val="00424CAC"/>
    <w:rsid w:val="004250FA"/>
    <w:rsid w:val="00425848"/>
    <w:rsid w:val="004262D5"/>
    <w:rsid w:val="0042786F"/>
    <w:rsid w:val="004279F6"/>
    <w:rsid w:val="0043328A"/>
    <w:rsid w:val="00436AC9"/>
    <w:rsid w:val="00437677"/>
    <w:rsid w:val="004436E3"/>
    <w:rsid w:val="004445CB"/>
    <w:rsid w:val="0044652B"/>
    <w:rsid w:val="00447263"/>
    <w:rsid w:val="00453961"/>
    <w:rsid w:val="004543A4"/>
    <w:rsid w:val="004650D5"/>
    <w:rsid w:val="004651C8"/>
    <w:rsid w:val="004654A4"/>
    <w:rsid w:val="0046563D"/>
    <w:rsid w:val="0046635D"/>
    <w:rsid w:val="00467C0E"/>
    <w:rsid w:val="00472A3C"/>
    <w:rsid w:val="004744A6"/>
    <w:rsid w:val="004754C6"/>
    <w:rsid w:val="00475668"/>
    <w:rsid w:val="00476362"/>
    <w:rsid w:val="00484964"/>
    <w:rsid w:val="0048507E"/>
    <w:rsid w:val="00486C0A"/>
    <w:rsid w:val="004903C5"/>
    <w:rsid w:val="00491D53"/>
    <w:rsid w:val="00492199"/>
    <w:rsid w:val="00492219"/>
    <w:rsid w:val="00493541"/>
    <w:rsid w:val="00495363"/>
    <w:rsid w:val="00496A19"/>
    <w:rsid w:val="00496AF2"/>
    <w:rsid w:val="004A1141"/>
    <w:rsid w:val="004A708D"/>
    <w:rsid w:val="004B258C"/>
    <w:rsid w:val="004B4407"/>
    <w:rsid w:val="004C0468"/>
    <w:rsid w:val="004C075E"/>
    <w:rsid w:val="004C3CCF"/>
    <w:rsid w:val="004C5FB4"/>
    <w:rsid w:val="004C600C"/>
    <w:rsid w:val="004D2A21"/>
    <w:rsid w:val="004D3A07"/>
    <w:rsid w:val="004D5D0E"/>
    <w:rsid w:val="004D5DB4"/>
    <w:rsid w:val="004D7986"/>
    <w:rsid w:val="004E214F"/>
    <w:rsid w:val="004E27EA"/>
    <w:rsid w:val="004E3F79"/>
    <w:rsid w:val="004E54F8"/>
    <w:rsid w:val="004E5A16"/>
    <w:rsid w:val="004E695A"/>
    <w:rsid w:val="004F19A1"/>
    <w:rsid w:val="004F2E6F"/>
    <w:rsid w:val="004F3885"/>
    <w:rsid w:val="004F7BAD"/>
    <w:rsid w:val="0050379F"/>
    <w:rsid w:val="00505406"/>
    <w:rsid w:val="005072DE"/>
    <w:rsid w:val="00510535"/>
    <w:rsid w:val="00511FFC"/>
    <w:rsid w:val="00512664"/>
    <w:rsid w:val="00515AAD"/>
    <w:rsid w:val="00517214"/>
    <w:rsid w:val="00523E65"/>
    <w:rsid w:val="005257F6"/>
    <w:rsid w:val="00526293"/>
    <w:rsid w:val="00527E3E"/>
    <w:rsid w:val="005327C9"/>
    <w:rsid w:val="005354DF"/>
    <w:rsid w:val="005354EB"/>
    <w:rsid w:val="00541B7A"/>
    <w:rsid w:val="00543971"/>
    <w:rsid w:val="00545C80"/>
    <w:rsid w:val="005466DF"/>
    <w:rsid w:val="00550E8D"/>
    <w:rsid w:val="00554113"/>
    <w:rsid w:val="00554DB7"/>
    <w:rsid w:val="0056272B"/>
    <w:rsid w:val="0057042F"/>
    <w:rsid w:val="00570511"/>
    <w:rsid w:val="00573997"/>
    <w:rsid w:val="00576A83"/>
    <w:rsid w:val="00580B4F"/>
    <w:rsid w:val="00583F4A"/>
    <w:rsid w:val="00586A4F"/>
    <w:rsid w:val="00590D01"/>
    <w:rsid w:val="00595301"/>
    <w:rsid w:val="00595849"/>
    <w:rsid w:val="005A105E"/>
    <w:rsid w:val="005A3D62"/>
    <w:rsid w:val="005A40C2"/>
    <w:rsid w:val="005A479A"/>
    <w:rsid w:val="005A4E49"/>
    <w:rsid w:val="005A681E"/>
    <w:rsid w:val="005A7332"/>
    <w:rsid w:val="005B12E9"/>
    <w:rsid w:val="005B1D58"/>
    <w:rsid w:val="005B3EBD"/>
    <w:rsid w:val="005B7632"/>
    <w:rsid w:val="005B7AEB"/>
    <w:rsid w:val="005B7BE5"/>
    <w:rsid w:val="005C0256"/>
    <w:rsid w:val="005C3123"/>
    <w:rsid w:val="005C4574"/>
    <w:rsid w:val="005C469C"/>
    <w:rsid w:val="005C4EC3"/>
    <w:rsid w:val="005C5D1B"/>
    <w:rsid w:val="005C702C"/>
    <w:rsid w:val="005C78D5"/>
    <w:rsid w:val="005C7A99"/>
    <w:rsid w:val="005C7B13"/>
    <w:rsid w:val="005D0EBB"/>
    <w:rsid w:val="005D766E"/>
    <w:rsid w:val="005E4A2F"/>
    <w:rsid w:val="005E77C6"/>
    <w:rsid w:val="005F3E58"/>
    <w:rsid w:val="005F62F5"/>
    <w:rsid w:val="005F7A48"/>
    <w:rsid w:val="005F7FB5"/>
    <w:rsid w:val="00600939"/>
    <w:rsid w:val="00604537"/>
    <w:rsid w:val="00606743"/>
    <w:rsid w:val="00610DDA"/>
    <w:rsid w:val="00614A6F"/>
    <w:rsid w:val="00615137"/>
    <w:rsid w:val="006220D8"/>
    <w:rsid w:val="0062272E"/>
    <w:rsid w:val="00624123"/>
    <w:rsid w:val="0062788A"/>
    <w:rsid w:val="00630403"/>
    <w:rsid w:val="00631B9C"/>
    <w:rsid w:val="00631F73"/>
    <w:rsid w:val="00640FB6"/>
    <w:rsid w:val="006422F4"/>
    <w:rsid w:val="00652EF3"/>
    <w:rsid w:val="00654D0F"/>
    <w:rsid w:val="00655B0F"/>
    <w:rsid w:val="00657DD7"/>
    <w:rsid w:val="00662E6A"/>
    <w:rsid w:val="0066330C"/>
    <w:rsid w:val="006678A8"/>
    <w:rsid w:val="0067184B"/>
    <w:rsid w:val="00673D91"/>
    <w:rsid w:val="006757AC"/>
    <w:rsid w:val="00677391"/>
    <w:rsid w:val="006811C2"/>
    <w:rsid w:val="0068648B"/>
    <w:rsid w:val="00687FAF"/>
    <w:rsid w:val="006919E3"/>
    <w:rsid w:val="00696B12"/>
    <w:rsid w:val="00697CA5"/>
    <w:rsid w:val="006A16E0"/>
    <w:rsid w:val="006A3321"/>
    <w:rsid w:val="006A746A"/>
    <w:rsid w:val="006B0020"/>
    <w:rsid w:val="006B2236"/>
    <w:rsid w:val="006C0007"/>
    <w:rsid w:val="006C0A33"/>
    <w:rsid w:val="006C10B2"/>
    <w:rsid w:val="006C453A"/>
    <w:rsid w:val="006D17D0"/>
    <w:rsid w:val="006D1892"/>
    <w:rsid w:val="006D29F0"/>
    <w:rsid w:val="006D446C"/>
    <w:rsid w:val="006D51D2"/>
    <w:rsid w:val="006D6246"/>
    <w:rsid w:val="006D6A41"/>
    <w:rsid w:val="006E1930"/>
    <w:rsid w:val="006E2581"/>
    <w:rsid w:val="006E3163"/>
    <w:rsid w:val="006F1CA6"/>
    <w:rsid w:val="006F32AA"/>
    <w:rsid w:val="006F5472"/>
    <w:rsid w:val="006F7338"/>
    <w:rsid w:val="0070193A"/>
    <w:rsid w:val="00703231"/>
    <w:rsid w:val="00704D78"/>
    <w:rsid w:val="0070542F"/>
    <w:rsid w:val="00705C1E"/>
    <w:rsid w:val="00706204"/>
    <w:rsid w:val="00706DC5"/>
    <w:rsid w:val="00707A63"/>
    <w:rsid w:val="00713DE7"/>
    <w:rsid w:val="00715B88"/>
    <w:rsid w:val="007219C1"/>
    <w:rsid w:val="007220F0"/>
    <w:rsid w:val="00724532"/>
    <w:rsid w:val="0073291F"/>
    <w:rsid w:val="00732B11"/>
    <w:rsid w:val="0073618D"/>
    <w:rsid w:val="007362C1"/>
    <w:rsid w:val="00737957"/>
    <w:rsid w:val="00745665"/>
    <w:rsid w:val="00746590"/>
    <w:rsid w:val="007510FF"/>
    <w:rsid w:val="00756180"/>
    <w:rsid w:val="0076106D"/>
    <w:rsid w:val="0076136F"/>
    <w:rsid w:val="00764AD6"/>
    <w:rsid w:val="00766DF5"/>
    <w:rsid w:val="007716CE"/>
    <w:rsid w:val="00773DE2"/>
    <w:rsid w:val="00775260"/>
    <w:rsid w:val="0077529E"/>
    <w:rsid w:val="007801F1"/>
    <w:rsid w:val="00782EB5"/>
    <w:rsid w:val="00783D69"/>
    <w:rsid w:val="00784470"/>
    <w:rsid w:val="007849E8"/>
    <w:rsid w:val="007909D3"/>
    <w:rsid w:val="0079115B"/>
    <w:rsid w:val="00795A15"/>
    <w:rsid w:val="00795F35"/>
    <w:rsid w:val="007A0786"/>
    <w:rsid w:val="007A428A"/>
    <w:rsid w:val="007A512E"/>
    <w:rsid w:val="007A525A"/>
    <w:rsid w:val="007A54E5"/>
    <w:rsid w:val="007A6E61"/>
    <w:rsid w:val="007B353B"/>
    <w:rsid w:val="007B4320"/>
    <w:rsid w:val="007B4DC0"/>
    <w:rsid w:val="007B7CCD"/>
    <w:rsid w:val="007C1215"/>
    <w:rsid w:val="007C31E6"/>
    <w:rsid w:val="007C5E24"/>
    <w:rsid w:val="007D506B"/>
    <w:rsid w:val="007D70A6"/>
    <w:rsid w:val="007D7A32"/>
    <w:rsid w:val="007E7633"/>
    <w:rsid w:val="007E7661"/>
    <w:rsid w:val="007E7AF6"/>
    <w:rsid w:val="007F1ACD"/>
    <w:rsid w:val="007F4D9E"/>
    <w:rsid w:val="007F789D"/>
    <w:rsid w:val="0080023E"/>
    <w:rsid w:val="00800F33"/>
    <w:rsid w:val="0080236E"/>
    <w:rsid w:val="008026FD"/>
    <w:rsid w:val="00807088"/>
    <w:rsid w:val="0080799E"/>
    <w:rsid w:val="00807AB0"/>
    <w:rsid w:val="00822B3A"/>
    <w:rsid w:val="00823403"/>
    <w:rsid w:val="00827556"/>
    <w:rsid w:val="008309BD"/>
    <w:rsid w:val="00831E1F"/>
    <w:rsid w:val="0083678B"/>
    <w:rsid w:val="00842112"/>
    <w:rsid w:val="008429B8"/>
    <w:rsid w:val="0084435D"/>
    <w:rsid w:val="00844DA9"/>
    <w:rsid w:val="0084527D"/>
    <w:rsid w:val="00845E31"/>
    <w:rsid w:val="008467C5"/>
    <w:rsid w:val="00847661"/>
    <w:rsid w:val="008501A9"/>
    <w:rsid w:val="00850F07"/>
    <w:rsid w:val="008542A7"/>
    <w:rsid w:val="00861912"/>
    <w:rsid w:val="00864FAD"/>
    <w:rsid w:val="00867060"/>
    <w:rsid w:val="0086758F"/>
    <w:rsid w:val="00873637"/>
    <w:rsid w:val="00873A3A"/>
    <w:rsid w:val="00874AFC"/>
    <w:rsid w:val="0087583E"/>
    <w:rsid w:val="0087704B"/>
    <w:rsid w:val="0088290D"/>
    <w:rsid w:val="0088306B"/>
    <w:rsid w:val="00886EAD"/>
    <w:rsid w:val="0089091F"/>
    <w:rsid w:val="00892AF0"/>
    <w:rsid w:val="00894620"/>
    <w:rsid w:val="008964C2"/>
    <w:rsid w:val="00897579"/>
    <w:rsid w:val="008A064B"/>
    <w:rsid w:val="008A311E"/>
    <w:rsid w:val="008A3616"/>
    <w:rsid w:val="008A4844"/>
    <w:rsid w:val="008A6060"/>
    <w:rsid w:val="008B1F29"/>
    <w:rsid w:val="008B3E37"/>
    <w:rsid w:val="008B5D44"/>
    <w:rsid w:val="008B66E7"/>
    <w:rsid w:val="008B7221"/>
    <w:rsid w:val="008C31F5"/>
    <w:rsid w:val="008C3D4B"/>
    <w:rsid w:val="008C6C13"/>
    <w:rsid w:val="008C6CAC"/>
    <w:rsid w:val="008C77B5"/>
    <w:rsid w:val="008C7D9E"/>
    <w:rsid w:val="008D00A1"/>
    <w:rsid w:val="008D0CFB"/>
    <w:rsid w:val="008D15AF"/>
    <w:rsid w:val="008D25D6"/>
    <w:rsid w:val="008D32EB"/>
    <w:rsid w:val="008D3B7E"/>
    <w:rsid w:val="008D4460"/>
    <w:rsid w:val="008D721A"/>
    <w:rsid w:val="008E41EE"/>
    <w:rsid w:val="008E50C4"/>
    <w:rsid w:val="008F0082"/>
    <w:rsid w:val="008F081D"/>
    <w:rsid w:val="008F4B43"/>
    <w:rsid w:val="008F618E"/>
    <w:rsid w:val="009037C0"/>
    <w:rsid w:val="00907892"/>
    <w:rsid w:val="00910477"/>
    <w:rsid w:val="0091524E"/>
    <w:rsid w:val="00916BF5"/>
    <w:rsid w:val="00922E66"/>
    <w:rsid w:val="009243D8"/>
    <w:rsid w:val="00926C1B"/>
    <w:rsid w:val="009312A8"/>
    <w:rsid w:val="0093260C"/>
    <w:rsid w:val="0093505F"/>
    <w:rsid w:val="00941511"/>
    <w:rsid w:val="00944013"/>
    <w:rsid w:val="00956FD3"/>
    <w:rsid w:val="00960F47"/>
    <w:rsid w:val="00961FD5"/>
    <w:rsid w:val="00966218"/>
    <w:rsid w:val="00970A04"/>
    <w:rsid w:val="009717BC"/>
    <w:rsid w:val="00973B67"/>
    <w:rsid w:val="009750B5"/>
    <w:rsid w:val="009753CD"/>
    <w:rsid w:val="009811F2"/>
    <w:rsid w:val="009878F8"/>
    <w:rsid w:val="009907A4"/>
    <w:rsid w:val="00990B39"/>
    <w:rsid w:val="00990C9C"/>
    <w:rsid w:val="0099371A"/>
    <w:rsid w:val="0099484A"/>
    <w:rsid w:val="009969CA"/>
    <w:rsid w:val="009A0E17"/>
    <w:rsid w:val="009A36EC"/>
    <w:rsid w:val="009A7B04"/>
    <w:rsid w:val="009A7ED2"/>
    <w:rsid w:val="009B339D"/>
    <w:rsid w:val="009B3962"/>
    <w:rsid w:val="009B46E5"/>
    <w:rsid w:val="009B7032"/>
    <w:rsid w:val="009C021B"/>
    <w:rsid w:val="009C0450"/>
    <w:rsid w:val="009C234C"/>
    <w:rsid w:val="009D1ECD"/>
    <w:rsid w:val="009D1FCD"/>
    <w:rsid w:val="009E0F91"/>
    <w:rsid w:val="009E1B0F"/>
    <w:rsid w:val="009E47B7"/>
    <w:rsid w:val="009E761B"/>
    <w:rsid w:val="009F168F"/>
    <w:rsid w:val="009F2E47"/>
    <w:rsid w:val="009F31C2"/>
    <w:rsid w:val="009F38E9"/>
    <w:rsid w:val="009F6914"/>
    <w:rsid w:val="009F74A2"/>
    <w:rsid w:val="009F7506"/>
    <w:rsid w:val="00A028EC"/>
    <w:rsid w:val="00A031E7"/>
    <w:rsid w:val="00A10AFB"/>
    <w:rsid w:val="00A13D3F"/>
    <w:rsid w:val="00A1556B"/>
    <w:rsid w:val="00A16515"/>
    <w:rsid w:val="00A23B97"/>
    <w:rsid w:val="00A23D72"/>
    <w:rsid w:val="00A242A2"/>
    <w:rsid w:val="00A243F4"/>
    <w:rsid w:val="00A26198"/>
    <w:rsid w:val="00A300D7"/>
    <w:rsid w:val="00A33096"/>
    <w:rsid w:val="00A33C72"/>
    <w:rsid w:val="00A3536E"/>
    <w:rsid w:val="00A356A2"/>
    <w:rsid w:val="00A36FDB"/>
    <w:rsid w:val="00A4525F"/>
    <w:rsid w:val="00A457A5"/>
    <w:rsid w:val="00A50E1F"/>
    <w:rsid w:val="00A51AED"/>
    <w:rsid w:val="00A537AA"/>
    <w:rsid w:val="00A560BD"/>
    <w:rsid w:val="00A565AF"/>
    <w:rsid w:val="00A5783E"/>
    <w:rsid w:val="00A57C77"/>
    <w:rsid w:val="00A60817"/>
    <w:rsid w:val="00A62E1D"/>
    <w:rsid w:val="00A64755"/>
    <w:rsid w:val="00A64A94"/>
    <w:rsid w:val="00A710FF"/>
    <w:rsid w:val="00A73079"/>
    <w:rsid w:val="00A8325E"/>
    <w:rsid w:val="00A87E1C"/>
    <w:rsid w:val="00A91C0D"/>
    <w:rsid w:val="00A9217B"/>
    <w:rsid w:val="00A95BC3"/>
    <w:rsid w:val="00A95CF5"/>
    <w:rsid w:val="00AA273E"/>
    <w:rsid w:val="00AA3253"/>
    <w:rsid w:val="00AA35BD"/>
    <w:rsid w:val="00AA6EB7"/>
    <w:rsid w:val="00AB28A1"/>
    <w:rsid w:val="00AB5B9E"/>
    <w:rsid w:val="00AB74A0"/>
    <w:rsid w:val="00AC0303"/>
    <w:rsid w:val="00AC3D61"/>
    <w:rsid w:val="00AC6366"/>
    <w:rsid w:val="00AC6695"/>
    <w:rsid w:val="00AC700F"/>
    <w:rsid w:val="00AC7863"/>
    <w:rsid w:val="00AD0628"/>
    <w:rsid w:val="00AD1464"/>
    <w:rsid w:val="00AD1EB4"/>
    <w:rsid w:val="00AD58E5"/>
    <w:rsid w:val="00AD66AE"/>
    <w:rsid w:val="00AE1133"/>
    <w:rsid w:val="00AE1F62"/>
    <w:rsid w:val="00AE2EDD"/>
    <w:rsid w:val="00AE7516"/>
    <w:rsid w:val="00AF08C1"/>
    <w:rsid w:val="00AF1381"/>
    <w:rsid w:val="00AF1587"/>
    <w:rsid w:val="00AF1F29"/>
    <w:rsid w:val="00AF27CB"/>
    <w:rsid w:val="00AF710D"/>
    <w:rsid w:val="00AF75F9"/>
    <w:rsid w:val="00AF7BEA"/>
    <w:rsid w:val="00B03B63"/>
    <w:rsid w:val="00B13093"/>
    <w:rsid w:val="00B13317"/>
    <w:rsid w:val="00B135EE"/>
    <w:rsid w:val="00B15B3A"/>
    <w:rsid w:val="00B21C5B"/>
    <w:rsid w:val="00B21E45"/>
    <w:rsid w:val="00B22621"/>
    <w:rsid w:val="00B228D6"/>
    <w:rsid w:val="00B22C5B"/>
    <w:rsid w:val="00B23F3E"/>
    <w:rsid w:val="00B240E2"/>
    <w:rsid w:val="00B244B0"/>
    <w:rsid w:val="00B2559B"/>
    <w:rsid w:val="00B25E32"/>
    <w:rsid w:val="00B26494"/>
    <w:rsid w:val="00B27AF4"/>
    <w:rsid w:val="00B3003A"/>
    <w:rsid w:val="00B304A7"/>
    <w:rsid w:val="00B32A9B"/>
    <w:rsid w:val="00B332C8"/>
    <w:rsid w:val="00B336A8"/>
    <w:rsid w:val="00B34351"/>
    <w:rsid w:val="00B36314"/>
    <w:rsid w:val="00B403CF"/>
    <w:rsid w:val="00B4097E"/>
    <w:rsid w:val="00B41335"/>
    <w:rsid w:val="00B42C0A"/>
    <w:rsid w:val="00B44CB4"/>
    <w:rsid w:val="00B45187"/>
    <w:rsid w:val="00B47B40"/>
    <w:rsid w:val="00B47FA5"/>
    <w:rsid w:val="00B50404"/>
    <w:rsid w:val="00B50B88"/>
    <w:rsid w:val="00B51DBB"/>
    <w:rsid w:val="00B5427C"/>
    <w:rsid w:val="00B54D1A"/>
    <w:rsid w:val="00B54EE8"/>
    <w:rsid w:val="00B60A56"/>
    <w:rsid w:val="00B73B4E"/>
    <w:rsid w:val="00B75843"/>
    <w:rsid w:val="00B7651D"/>
    <w:rsid w:val="00B76E53"/>
    <w:rsid w:val="00B77744"/>
    <w:rsid w:val="00B821E5"/>
    <w:rsid w:val="00B83040"/>
    <w:rsid w:val="00B835E7"/>
    <w:rsid w:val="00B86BC8"/>
    <w:rsid w:val="00B879E1"/>
    <w:rsid w:val="00B95570"/>
    <w:rsid w:val="00B95E3E"/>
    <w:rsid w:val="00B97098"/>
    <w:rsid w:val="00B973DF"/>
    <w:rsid w:val="00B97A07"/>
    <w:rsid w:val="00BA1653"/>
    <w:rsid w:val="00BA6133"/>
    <w:rsid w:val="00BA767E"/>
    <w:rsid w:val="00BB0961"/>
    <w:rsid w:val="00BB475D"/>
    <w:rsid w:val="00BB5E9C"/>
    <w:rsid w:val="00BC008A"/>
    <w:rsid w:val="00BC0275"/>
    <w:rsid w:val="00BC03F1"/>
    <w:rsid w:val="00BC063F"/>
    <w:rsid w:val="00BC1AF7"/>
    <w:rsid w:val="00BC5FC5"/>
    <w:rsid w:val="00BC6D5D"/>
    <w:rsid w:val="00BD0013"/>
    <w:rsid w:val="00BD0724"/>
    <w:rsid w:val="00BD129A"/>
    <w:rsid w:val="00BD2C78"/>
    <w:rsid w:val="00BD39AD"/>
    <w:rsid w:val="00BD5E7B"/>
    <w:rsid w:val="00BD6238"/>
    <w:rsid w:val="00BD7103"/>
    <w:rsid w:val="00BE09D9"/>
    <w:rsid w:val="00BE0FE8"/>
    <w:rsid w:val="00BE179F"/>
    <w:rsid w:val="00BE6A13"/>
    <w:rsid w:val="00BF236D"/>
    <w:rsid w:val="00C00C91"/>
    <w:rsid w:val="00C00DFC"/>
    <w:rsid w:val="00C02CC9"/>
    <w:rsid w:val="00C03AFA"/>
    <w:rsid w:val="00C04513"/>
    <w:rsid w:val="00C05C24"/>
    <w:rsid w:val="00C06280"/>
    <w:rsid w:val="00C065F4"/>
    <w:rsid w:val="00C077B2"/>
    <w:rsid w:val="00C10419"/>
    <w:rsid w:val="00C1158F"/>
    <w:rsid w:val="00C12B31"/>
    <w:rsid w:val="00C12CD4"/>
    <w:rsid w:val="00C1707B"/>
    <w:rsid w:val="00C20625"/>
    <w:rsid w:val="00C22652"/>
    <w:rsid w:val="00C22B04"/>
    <w:rsid w:val="00C24118"/>
    <w:rsid w:val="00C42184"/>
    <w:rsid w:val="00C438C6"/>
    <w:rsid w:val="00C548BA"/>
    <w:rsid w:val="00C5686A"/>
    <w:rsid w:val="00C57FFA"/>
    <w:rsid w:val="00C64D33"/>
    <w:rsid w:val="00C64E99"/>
    <w:rsid w:val="00C66B59"/>
    <w:rsid w:val="00C66CE4"/>
    <w:rsid w:val="00C738EB"/>
    <w:rsid w:val="00C77418"/>
    <w:rsid w:val="00C801FC"/>
    <w:rsid w:val="00C8409C"/>
    <w:rsid w:val="00C84112"/>
    <w:rsid w:val="00C8446F"/>
    <w:rsid w:val="00C85C70"/>
    <w:rsid w:val="00C860A1"/>
    <w:rsid w:val="00C861D7"/>
    <w:rsid w:val="00C90485"/>
    <w:rsid w:val="00C960AA"/>
    <w:rsid w:val="00CA4396"/>
    <w:rsid w:val="00CB0476"/>
    <w:rsid w:val="00CB161E"/>
    <w:rsid w:val="00CB1859"/>
    <w:rsid w:val="00CB4F2A"/>
    <w:rsid w:val="00CB6DAF"/>
    <w:rsid w:val="00CC0C80"/>
    <w:rsid w:val="00CC26C7"/>
    <w:rsid w:val="00CC5290"/>
    <w:rsid w:val="00CD1822"/>
    <w:rsid w:val="00CD310F"/>
    <w:rsid w:val="00CD3D2E"/>
    <w:rsid w:val="00CD46AA"/>
    <w:rsid w:val="00CD6F51"/>
    <w:rsid w:val="00CD7A1E"/>
    <w:rsid w:val="00CE0D7C"/>
    <w:rsid w:val="00CE2CB9"/>
    <w:rsid w:val="00CE2E80"/>
    <w:rsid w:val="00CE30B8"/>
    <w:rsid w:val="00CE4785"/>
    <w:rsid w:val="00CE4EAE"/>
    <w:rsid w:val="00CE68CC"/>
    <w:rsid w:val="00CF1904"/>
    <w:rsid w:val="00CF3623"/>
    <w:rsid w:val="00D001E8"/>
    <w:rsid w:val="00D00B6A"/>
    <w:rsid w:val="00D012CA"/>
    <w:rsid w:val="00D10F4F"/>
    <w:rsid w:val="00D12BC8"/>
    <w:rsid w:val="00D12FE5"/>
    <w:rsid w:val="00D138CA"/>
    <w:rsid w:val="00D13C4F"/>
    <w:rsid w:val="00D158DE"/>
    <w:rsid w:val="00D16F2B"/>
    <w:rsid w:val="00D21861"/>
    <w:rsid w:val="00D22F09"/>
    <w:rsid w:val="00D2734B"/>
    <w:rsid w:val="00D2787F"/>
    <w:rsid w:val="00D27C31"/>
    <w:rsid w:val="00D3107A"/>
    <w:rsid w:val="00D33F0C"/>
    <w:rsid w:val="00D3530D"/>
    <w:rsid w:val="00D3777D"/>
    <w:rsid w:val="00D43C43"/>
    <w:rsid w:val="00D4421E"/>
    <w:rsid w:val="00D47A09"/>
    <w:rsid w:val="00D47BD5"/>
    <w:rsid w:val="00D50DDD"/>
    <w:rsid w:val="00D55543"/>
    <w:rsid w:val="00D55EA3"/>
    <w:rsid w:val="00D56AF0"/>
    <w:rsid w:val="00D56F44"/>
    <w:rsid w:val="00D573A6"/>
    <w:rsid w:val="00D575DC"/>
    <w:rsid w:val="00D57955"/>
    <w:rsid w:val="00D60403"/>
    <w:rsid w:val="00D63BE0"/>
    <w:rsid w:val="00D671E0"/>
    <w:rsid w:val="00D75104"/>
    <w:rsid w:val="00D76ACA"/>
    <w:rsid w:val="00D8146D"/>
    <w:rsid w:val="00D845B2"/>
    <w:rsid w:val="00D863AD"/>
    <w:rsid w:val="00D9217B"/>
    <w:rsid w:val="00D92FD9"/>
    <w:rsid w:val="00D97BB0"/>
    <w:rsid w:val="00DA2CC8"/>
    <w:rsid w:val="00DA635F"/>
    <w:rsid w:val="00DA6CC3"/>
    <w:rsid w:val="00DB2505"/>
    <w:rsid w:val="00DB3641"/>
    <w:rsid w:val="00DB3B2D"/>
    <w:rsid w:val="00DB4F07"/>
    <w:rsid w:val="00DC265B"/>
    <w:rsid w:val="00DC36AF"/>
    <w:rsid w:val="00DD135E"/>
    <w:rsid w:val="00DD1D5C"/>
    <w:rsid w:val="00DE024F"/>
    <w:rsid w:val="00DE3E2A"/>
    <w:rsid w:val="00DE4FD2"/>
    <w:rsid w:val="00DE7263"/>
    <w:rsid w:val="00DE7D7F"/>
    <w:rsid w:val="00DF00FD"/>
    <w:rsid w:val="00DF095F"/>
    <w:rsid w:val="00DF1450"/>
    <w:rsid w:val="00DF5503"/>
    <w:rsid w:val="00DF585E"/>
    <w:rsid w:val="00DF7B61"/>
    <w:rsid w:val="00E00FA5"/>
    <w:rsid w:val="00E07A60"/>
    <w:rsid w:val="00E11104"/>
    <w:rsid w:val="00E13C0C"/>
    <w:rsid w:val="00E13E26"/>
    <w:rsid w:val="00E13F00"/>
    <w:rsid w:val="00E1763D"/>
    <w:rsid w:val="00E2290D"/>
    <w:rsid w:val="00E27576"/>
    <w:rsid w:val="00E317A9"/>
    <w:rsid w:val="00E33773"/>
    <w:rsid w:val="00E33857"/>
    <w:rsid w:val="00E36D3F"/>
    <w:rsid w:val="00E37BAD"/>
    <w:rsid w:val="00E37ED8"/>
    <w:rsid w:val="00E41AFB"/>
    <w:rsid w:val="00E4763E"/>
    <w:rsid w:val="00E50111"/>
    <w:rsid w:val="00E55FA8"/>
    <w:rsid w:val="00E57E65"/>
    <w:rsid w:val="00E6129D"/>
    <w:rsid w:val="00E6174C"/>
    <w:rsid w:val="00E627CC"/>
    <w:rsid w:val="00E62912"/>
    <w:rsid w:val="00E67C49"/>
    <w:rsid w:val="00E67FB1"/>
    <w:rsid w:val="00E703F7"/>
    <w:rsid w:val="00E73562"/>
    <w:rsid w:val="00E73A63"/>
    <w:rsid w:val="00E76E72"/>
    <w:rsid w:val="00E80582"/>
    <w:rsid w:val="00E80873"/>
    <w:rsid w:val="00E80EC3"/>
    <w:rsid w:val="00E81B3B"/>
    <w:rsid w:val="00E81DC7"/>
    <w:rsid w:val="00E827EF"/>
    <w:rsid w:val="00E82CFB"/>
    <w:rsid w:val="00E8347A"/>
    <w:rsid w:val="00E85F53"/>
    <w:rsid w:val="00E86B82"/>
    <w:rsid w:val="00E92F8E"/>
    <w:rsid w:val="00EA3E3E"/>
    <w:rsid w:val="00EA74C5"/>
    <w:rsid w:val="00EA78A3"/>
    <w:rsid w:val="00EB2C2A"/>
    <w:rsid w:val="00EB56ED"/>
    <w:rsid w:val="00EB6DBD"/>
    <w:rsid w:val="00EB6FB9"/>
    <w:rsid w:val="00EB7F24"/>
    <w:rsid w:val="00EC01F4"/>
    <w:rsid w:val="00EC07DB"/>
    <w:rsid w:val="00EC0FF7"/>
    <w:rsid w:val="00EC3ED3"/>
    <w:rsid w:val="00EC4618"/>
    <w:rsid w:val="00ED24BF"/>
    <w:rsid w:val="00ED3440"/>
    <w:rsid w:val="00EE05A9"/>
    <w:rsid w:val="00EE07AE"/>
    <w:rsid w:val="00EE08B1"/>
    <w:rsid w:val="00EE1C11"/>
    <w:rsid w:val="00EE2BBE"/>
    <w:rsid w:val="00EE3AA4"/>
    <w:rsid w:val="00EE7447"/>
    <w:rsid w:val="00EF4AF7"/>
    <w:rsid w:val="00EF5901"/>
    <w:rsid w:val="00EF6029"/>
    <w:rsid w:val="00EF65B5"/>
    <w:rsid w:val="00EF6FC9"/>
    <w:rsid w:val="00EF75BB"/>
    <w:rsid w:val="00F032E9"/>
    <w:rsid w:val="00F12CA4"/>
    <w:rsid w:val="00F24042"/>
    <w:rsid w:val="00F26028"/>
    <w:rsid w:val="00F30899"/>
    <w:rsid w:val="00F32530"/>
    <w:rsid w:val="00F32D2D"/>
    <w:rsid w:val="00F33378"/>
    <w:rsid w:val="00F33655"/>
    <w:rsid w:val="00F44E3A"/>
    <w:rsid w:val="00F46BED"/>
    <w:rsid w:val="00F53BB9"/>
    <w:rsid w:val="00F54BC9"/>
    <w:rsid w:val="00F54D5C"/>
    <w:rsid w:val="00F55ED8"/>
    <w:rsid w:val="00F564A4"/>
    <w:rsid w:val="00F566D0"/>
    <w:rsid w:val="00F56FDC"/>
    <w:rsid w:val="00F626CC"/>
    <w:rsid w:val="00F70140"/>
    <w:rsid w:val="00F71CD8"/>
    <w:rsid w:val="00F8110F"/>
    <w:rsid w:val="00F8165F"/>
    <w:rsid w:val="00F82352"/>
    <w:rsid w:val="00F85AA3"/>
    <w:rsid w:val="00F904B0"/>
    <w:rsid w:val="00F911DB"/>
    <w:rsid w:val="00F914CF"/>
    <w:rsid w:val="00F94E8E"/>
    <w:rsid w:val="00F95531"/>
    <w:rsid w:val="00F96EA5"/>
    <w:rsid w:val="00F97586"/>
    <w:rsid w:val="00FA1503"/>
    <w:rsid w:val="00FA16FC"/>
    <w:rsid w:val="00FB0976"/>
    <w:rsid w:val="00FB1278"/>
    <w:rsid w:val="00FB4A4C"/>
    <w:rsid w:val="00FB4A55"/>
    <w:rsid w:val="00FB7603"/>
    <w:rsid w:val="00FB79F9"/>
    <w:rsid w:val="00FB7ABC"/>
    <w:rsid w:val="00FC3801"/>
    <w:rsid w:val="00FC609F"/>
    <w:rsid w:val="00FD3825"/>
    <w:rsid w:val="00FD6339"/>
    <w:rsid w:val="00FE2EBF"/>
    <w:rsid w:val="00FE50DF"/>
    <w:rsid w:val="00FE6B65"/>
    <w:rsid w:val="00FE6C38"/>
    <w:rsid w:val="00FF0EBB"/>
    <w:rsid w:val="00FF161D"/>
    <w:rsid w:val="00FF23D7"/>
    <w:rsid w:val="00FF4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ADA4E"/>
  <w15:chartTrackingRefBased/>
  <w15:docId w15:val="{085F5E73-3378-4525-BA38-B2FB271A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0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0FA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F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00FA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00FA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0FA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0FA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0FA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B7ABC"/>
    <w:rPr>
      <w:rFonts w:ascii="Times New Roman" w:hAnsi="Times New Roman"/>
      <w:sz w:val="24"/>
    </w:rPr>
  </w:style>
  <w:style w:type="paragraph" w:styleId="Footer">
    <w:name w:val="footer"/>
    <w:basedOn w:val="Normal"/>
    <w:link w:val="FooterChar"/>
    <w:uiPriority w:val="99"/>
    <w:unhideWhenUsed/>
    <w:rsid w:val="00467C0E"/>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rsid w:val="00467C0E"/>
    <w:rPr>
      <w:sz w:val="20"/>
    </w:rPr>
  </w:style>
  <w:style w:type="character" w:customStyle="1" w:styleId="Heading1Char">
    <w:name w:val="Heading 1 Char"/>
    <w:basedOn w:val="DefaultParagraphFont"/>
    <w:link w:val="Heading1"/>
    <w:uiPriority w:val="9"/>
    <w:rsid w:val="00E00F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0F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0FA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FA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00FA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00F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0F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0F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0F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0F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FA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FA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0FA5"/>
    <w:pPr>
      <w:spacing w:before="160"/>
      <w:jc w:val="center"/>
    </w:pPr>
    <w:rPr>
      <w:i/>
      <w:iCs/>
      <w:color w:val="404040" w:themeColor="text1" w:themeTint="BF"/>
    </w:rPr>
  </w:style>
  <w:style w:type="character" w:customStyle="1" w:styleId="QuoteChar">
    <w:name w:val="Quote Char"/>
    <w:basedOn w:val="DefaultParagraphFont"/>
    <w:link w:val="Quote"/>
    <w:uiPriority w:val="29"/>
    <w:rsid w:val="00E00FA5"/>
    <w:rPr>
      <w:i/>
      <w:iCs/>
      <w:color w:val="404040" w:themeColor="text1" w:themeTint="BF"/>
    </w:rPr>
  </w:style>
  <w:style w:type="paragraph" w:styleId="ListParagraph">
    <w:name w:val="List Paragraph"/>
    <w:basedOn w:val="Normal"/>
    <w:uiPriority w:val="34"/>
    <w:qFormat/>
    <w:rsid w:val="00E00FA5"/>
    <w:pPr>
      <w:ind w:left="720"/>
      <w:contextualSpacing/>
    </w:pPr>
  </w:style>
  <w:style w:type="character" w:styleId="IntenseEmphasis">
    <w:name w:val="Intense Emphasis"/>
    <w:basedOn w:val="DefaultParagraphFont"/>
    <w:uiPriority w:val="21"/>
    <w:qFormat/>
    <w:rsid w:val="00E00FA5"/>
    <w:rPr>
      <w:i/>
      <w:iCs/>
      <w:color w:val="0F4761" w:themeColor="accent1" w:themeShade="BF"/>
    </w:rPr>
  </w:style>
  <w:style w:type="paragraph" w:styleId="IntenseQuote">
    <w:name w:val="Intense Quote"/>
    <w:basedOn w:val="Normal"/>
    <w:next w:val="Normal"/>
    <w:link w:val="IntenseQuoteChar"/>
    <w:uiPriority w:val="30"/>
    <w:qFormat/>
    <w:rsid w:val="00E00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FA5"/>
    <w:rPr>
      <w:i/>
      <w:iCs/>
      <w:color w:val="0F4761" w:themeColor="accent1" w:themeShade="BF"/>
    </w:rPr>
  </w:style>
  <w:style w:type="character" w:styleId="IntenseReference">
    <w:name w:val="Intense Reference"/>
    <w:basedOn w:val="DefaultParagraphFont"/>
    <w:uiPriority w:val="32"/>
    <w:qFormat/>
    <w:rsid w:val="00E00FA5"/>
    <w:rPr>
      <w:b/>
      <w:bCs/>
      <w:smallCaps/>
      <w:color w:val="0F4761" w:themeColor="accent1" w:themeShade="BF"/>
      <w:spacing w:val="5"/>
    </w:rPr>
  </w:style>
  <w:style w:type="paragraph" w:styleId="FootnoteText">
    <w:name w:val="footnote text"/>
    <w:basedOn w:val="Normal"/>
    <w:link w:val="FootnoteTextChar"/>
    <w:uiPriority w:val="99"/>
    <w:semiHidden/>
    <w:unhideWhenUsed/>
    <w:rsid w:val="00FD63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6339"/>
    <w:rPr>
      <w:sz w:val="20"/>
      <w:szCs w:val="20"/>
    </w:rPr>
  </w:style>
  <w:style w:type="character" w:styleId="FootnoteReference">
    <w:name w:val="footnote reference"/>
    <w:basedOn w:val="DefaultParagraphFont"/>
    <w:uiPriority w:val="99"/>
    <w:semiHidden/>
    <w:unhideWhenUsed/>
    <w:rsid w:val="00FD6339"/>
    <w:rPr>
      <w:vertAlign w:val="superscript"/>
    </w:rPr>
  </w:style>
  <w:style w:type="paragraph" w:styleId="Header">
    <w:name w:val="header"/>
    <w:basedOn w:val="Normal"/>
    <w:link w:val="HeaderChar"/>
    <w:uiPriority w:val="99"/>
    <w:unhideWhenUsed/>
    <w:rsid w:val="00663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30C"/>
  </w:style>
  <w:style w:type="character" w:styleId="Hyperlink">
    <w:name w:val="Hyperlink"/>
    <w:basedOn w:val="DefaultParagraphFont"/>
    <w:uiPriority w:val="99"/>
    <w:unhideWhenUsed/>
    <w:rsid w:val="00FB0976"/>
    <w:rPr>
      <w:color w:val="467886" w:themeColor="hyperlink"/>
      <w:u w:val="single"/>
    </w:rPr>
  </w:style>
  <w:style w:type="character" w:styleId="UnresolvedMention">
    <w:name w:val="Unresolved Mention"/>
    <w:basedOn w:val="DefaultParagraphFont"/>
    <w:uiPriority w:val="99"/>
    <w:semiHidden/>
    <w:unhideWhenUsed/>
    <w:rsid w:val="00FB0976"/>
    <w:rPr>
      <w:color w:val="605E5C"/>
      <w:shd w:val="clear" w:color="auto" w:fill="E1DFDD"/>
    </w:rPr>
  </w:style>
  <w:style w:type="character" w:styleId="FollowedHyperlink">
    <w:name w:val="FollowedHyperlink"/>
    <w:basedOn w:val="DefaultParagraphFont"/>
    <w:uiPriority w:val="99"/>
    <w:semiHidden/>
    <w:unhideWhenUsed/>
    <w:rsid w:val="007D70A6"/>
    <w:rPr>
      <w:color w:val="96607D" w:themeColor="followedHyperlink"/>
      <w:u w:val="single"/>
    </w:rPr>
  </w:style>
  <w:style w:type="character" w:styleId="CommentReference">
    <w:name w:val="annotation reference"/>
    <w:basedOn w:val="DefaultParagraphFont"/>
    <w:uiPriority w:val="99"/>
    <w:semiHidden/>
    <w:unhideWhenUsed/>
    <w:rsid w:val="002A243F"/>
    <w:rPr>
      <w:sz w:val="16"/>
      <w:szCs w:val="16"/>
    </w:rPr>
  </w:style>
  <w:style w:type="paragraph" w:styleId="CommentText">
    <w:name w:val="annotation text"/>
    <w:basedOn w:val="Normal"/>
    <w:link w:val="CommentTextChar"/>
    <w:uiPriority w:val="99"/>
    <w:unhideWhenUsed/>
    <w:rsid w:val="002A243F"/>
    <w:pPr>
      <w:spacing w:line="240" w:lineRule="auto"/>
    </w:pPr>
    <w:rPr>
      <w:sz w:val="20"/>
      <w:szCs w:val="20"/>
    </w:rPr>
  </w:style>
  <w:style w:type="character" w:customStyle="1" w:styleId="CommentTextChar">
    <w:name w:val="Comment Text Char"/>
    <w:basedOn w:val="DefaultParagraphFont"/>
    <w:link w:val="CommentText"/>
    <w:uiPriority w:val="99"/>
    <w:rsid w:val="002A243F"/>
    <w:rPr>
      <w:sz w:val="20"/>
      <w:szCs w:val="20"/>
    </w:rPr>
  </w:style>
  <w:style w:type="paragraph" w:styleId="CommentSubject">
    <w:name w:val="annotation subject"/>
    <w:basedOn w:val="CommentText"/>
    <w:next w:val="CommentText"/>
    <w:link w:val="CommentSubjectChar"/>
    <w:uiPriority w:val="99"/>
    <w:semiHidden/>
    <w:unhideWhenUsed/>
    <w:rsid w:val="002A243F"/>
    <w:rPr>
      <w:b/>
      <w:bCs/>
    </w:rPr>
  </w:style>
  <w:style w:type="character" w:customStyle="1" w:styleId="CommentSubjectChar">
    <w:name w:val="Comment Subject Char"/>
    <w:basedOn w:val="CommentTextChar"/>
    <w:link w:val="CommentSubject"/>
    <w:uiPriority w:val="99"/>
    <w:semiHidden/>
    <w:rsid w:val="002A243F"/>
    <w:rPr>
      <w:b/>
      <w:bCs/>
      <w:sz w:val="20"/>
      <w:szCs w:val="20"/>
    </w:rPr>
  </w:style>
  <w:style w:type="paragraph" w:styleId="Revision">
    <w:name w:val="Revision"/>
    <w:hidden/>
    <w:uiPriority w:val="99"/>
    <w:semiHidden/>
    <w:rsid w:val="00223906"/>
    <w:pPr>
      <w:spacing w:after="0" w:line="240" w:lineRule="auto"/>
    </w:pPr>
  </w:style>
  <w:style w:type="paragraph" w:customStyle="1" w:styleId="ECMemoBody">
    <w:name w:val="EC Memo Body"/>
    <w:basedOn w:val="Normal"/>
    <w:link w:val="ECMemoBodyChar"/>
    <w:qFormat/>
    <w:rsid w:val="0062788A"/>
    <w:pPr>
      <w:spacing w:after="0" w:line="240" w:lineRule="auto"/>
    </w:pPr>
    <w:rPr>
      <w:rFonts w:eastAsia="Cambria" w:cs="Times New Roman"/>
      <w:kern w:val="0"/>
      <w:szCs w:val="24"/>
      <w:lang w:eastAsia="zh-CN"/>
      <w14:ligatures w14:val="none"/>
    </w:rPr>
  </w:style>
  <w:style w:type="character" w:customStyle="1" w:styleId="ECMemoBodyChar">
    <w:name w:val="EC Memo Body Char"/>
    <w:basedOn w:val="DefaultParagraphFont"/>
    <w:link w:val="ECMemoBody"/>
    <w:rsid w:val="0062788A"/>
    <w:rPr>
      <w:rFonts w:eastAsia="Cambria" w:cs="Times New Roman"/>
      <w:kern w:val="0"/>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pa.gov/-/media/Aep/power/residential-exchange-program/asc-fy-2026-2028/bp-26-asc-review-kickoff-workshop.ppt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urldefense.com/v3/__https:/secure.sos.state.or.us/oard/viewSingleRule.action?ruleVrsnRsn=221512__;!!CRCbkf1f!VF5Zyo20ctI3N-1um2v8A_rywVmTssYHP3PaKuLpeovogfjFZNG5-SdrSYTv28N2lX3f1kHJruupogAIFgG2$" TargetMode="External"/><Relationship Id="rId2" Type="http://schemas.openxmlformats.org/officeDocument/2006/relationships/hyperlink" Target="https://app.leg.wa.gov/WAC/default.aspx?cite=480-07-510" TargetMode="External"/><Relationship Id="rId1" Type="http://schemas.openxmlformats.org/officeDocument/2006/relationships/hyperlink" Target="https://app.leg.wa.gov/wac/default.aspx?cite=480-100-2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6E24FC16C59A4B9B2D927B94657A16" ma:contentTypeVersion="10" ma:contentTypeDescription="Create a new document." ma:contentTypeScope="" ma:versionID="6c3d5222f98e485cf4d69c77902daf13">
  <xsd:schema xmlns:xsd="http://www.w3.org/2001/XMLSchema" xmlns:xs="http://www.w3.org/2001/XMLSchema" xmlns:p="http://schemas.microsoft.com/office/2006/metadata/properties" xmlns:ns2="94d0a5ce-4b4c-4969-81bc-bcc4fc289eff" targetNamespace="http://schemas.microsoft.com/office/2006/metadata/properties" ma:root="true" ma:fieldsID="4bb3f15a41597416952a669f3b15107d" ns2:_="">
    <xsd:import namespace="94d0a5ce-4b4c-4969-81bc-bcc4fc289ef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0a5ce-4b4c-4969-81bc-bcc4fc289e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A4490-A357-4A6B-B364-4E5DC9E4DA0C}">
  <ds:schemaRefs>
    <ds:schemaRef ds:uri="http://www.w3.org/XML/1998/namespace"/>
    <ds:schemaRef ds:uri="http://schemas.microsoft.com/office/2006/documentManagement/types"/>
    <ds:schemaRef ds:uri="http://purl.org/dc/terms/"/>
    <ds:schemaRef ds:uri="e00f11af-db44-469b-ba3c-351716d90da3"/>
    <ds:schemaRef ds:uri="http://purl.org/dc/dcmitype/"/>
    <ds:schemaRef ds:uri="http://purl.org/dc/elements/1.1/"/>
    <ds:schemaRef ds:uri="http://schemas.microsoft.com/office/infopath/2007/PartnerControls"/>
    <ds:schemaRef ds:uri="http://schemas.openxmlformats.org/package/2006/metadata/core-properties"/>
    <ds:schemaRef ds:uri="f9b013d5-3b71-419d-a498-daa66906b434"/>
    <ds:schemaRef ds:uri="http://schemas.microsoft.com/office/2006/metadata/properties"/>
  </ds:schemaRefs>
</ds:datastoreItem>
</file>

<file path=customXml/itemProps2.xml><?xml version="1.0" encoding="utf-8"?>
<ds:datastoreItem xmlns:ds="http://schemas.openxmlformats.org/officeDocument/2006/customXml" ds:itemID="{D54A4D41-09AA-4B29-BD0B-DCBBC4801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0a5ce-4b4c-4969-81bc-bcc4fc289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3C5C01-0C4D-498D-8C19-44366EDA33C4}">
  <ds:schemaRefs>
    <ds:schemaRef ds:uri="http://schemas.openxmlformats.org/officeDocument/2006/bibliography"/>
  </ds:schemaRefs>
</ds:datastoreItem>
</file>

<file path=customXml/itemProps4.xml><?xml version="1.0" encoding="utf-8"?>
<ds:datastoreItem xmlns:ds="http://schemas.openxmlformats.org/officeDocument/2006/customXml" ds:itemID="{B5CDF00C-D19C-4322-9C07-16307C0CBA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2212</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Ford</dc:creator>
  <cp:keywords/>
  <dc:description/>
  <cp:lastModifiedBy>Gobrele,Amanda Mae M (BPA) - NKS-7</cp:lastModifiedBy>
  <cp:revision>2</cp:revision>
  <cp:lastPrinted>2026-01-19T21:53:00Z</cp:lastPrinted>
  <dcterms:created xsi:type="dcterms:W3CDTF">2026-01-23T00:14:00Z</dcterms:created>
  <dcterms:modified xsi:type="dcterms:W3CDTF">2026-01-23T00:14:00Z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0x010100BD6E24FC16C59A4B9B2D927B94657A16</vt:lpwstr>
  </property>
  <property fmtid="{D5CDD505-2E9C-101B-9397-08002B2CF9AE}" pid="3" name="MediaServiceImageTags">
    <vt:lpwstr/>
  </property>
</Properties>
</file>