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BEA2" w14:textId="3528332D" w:rsidR="003F6B2F" w:rsidRDefault="00545C80" w:rsidP="009B339D">
      <w:pPr>
        <w:spacing w:after="0"/>
        <w:jc w:val="center"/>
      </w:pPr>
      <w:r>
        <w:t xml:space="preserve">COMMENTS OF CONSUMER-OWNED UTILITIES REGARDING </w:t>
      </w:r>
      <w:r w:rsidR="009B339D">
        <w:t xml:space="preserve">BPA’S PRELIMINARY </w:t>
      </w:r>
      <w:r w:rsidR="00BE6A13">
        <w:t>AVERAGE SYSTEM COST</w:t>
      </w:r>
      <w:r w:rsidR="009B339D">
        <w:t>S METHODOLOGY</w:t>
      </w:r>
    </w:p>
    <w:p w14:paraId="2DAA098F" w14:textId="77777777" w:rsidR="009B339D" w:rsidRDefault="009B339D" w:rsidP="009B339D">
      <w:pPr>
        <w:spacing w:after="0"/>
        <w:jc w:val="center"/>
      </w:pPr>
    </w:p>
    <w:p w14:paraId="2263EBB4" w14:textId="330D5379" w:rsidR="009B339D" w:rsidRDefault="009B339D" w:rsidP="009B339D">
      <w:pPr>
        <w:spacing w:after="0"/>
        <w:jc w:val="center"/>
      </w:pPr>
      <w:r>
        <w:t>Submitted: November 25, 2025</w:t>
      </w:r>
    </w:p>
    <w:p w14:paraId="021D9C56" w14:textId="77777777" w:rsidR="003F6B2F" w:rsidRDefault="003F6B2F" w:rsidP="0026655F">
      <w:pPr>
        <w:spacing w:after="0"/>
      </w:pPr>
    </w:p>
    <w:p w14:paraId="765B31A8" w14:textId="33CD4E79" w:rsidR="00E00FA5" w:rsidRDefault="00FD6339" w:rsidP="0026655F">
      <w:pPr>
        <w:spacing w:after="0"/>
      </w:pPr>
      <w:r>
        <w:t xml:space="preserve">In response to the October 23 </w:t>
      </w:r>
      <w:r w:rsidR="000411FE">
        <w:t>Average System Cost (</w:t>
      </w:r>
      <w:r>
        <w:t>ASC</w:t>
      </w:r>
      <w:r w:rsidR="000411FE">
        <w:t>)</w:t>
      </w:r>
      <w:r>
        <w:t xml:space="preserve"> Workshop, </w:t>
      </w:r>
      <w:r w:rsidR="006220D8">
        <w:t>PPC, NRU</w:t>
      </w:r>
      <w:r w:rsidR="00187B77">
        <w:t>, WPAG</w:t>
      </w:r>
      <w:r w:rsidR="006220D8">
        <w:t xml:space="preserve"> and </w:t>
      </w:r>
      <w:r w:rsidR="00187B77">
        <w:t>PNGC</w:t>
      </w:r>
      <w:r w:rsidR="006220D8">
        <w:t xml:space="preserve"> (hereafter referred to as the “the </w:t>
      </w:r>
      <w:r>
        <w:t>COU’s</w:t>
      </w:r>
      <w:r w:rsidR="006220D8">
        <w:t>”)</w:t>
      </w:r>
      <w:r>
        <w:t xml:space="preserve"> provide the following </w:t>
      </w:r>
      <w:r w:rsidR="009E0F91">
        <w:t xml:space="preserve">recommendations to enhance </w:t>
      </w:r>
      <w:r w:rsidR="00F96EA5">
        <w:t>ASC filings</w:t>
      </w:r>
      <w:r w:rsidR="00B7651D">
        <w:t xml:space="preserve"> </w:t>
      </w:r>
      <w:r w:rsidR="001C1AB0">
        <w:t xml:space="preserve">and </w:t>
      </w:r>
      <w:r w:rsidR="00A565AF">
        <w:t>to</w:t>
      </w:r>
      <w:r w:rsidR="00E13F00">
        <w:t xml:space="preserve"> </w:t>
      </w:r>
      <w:r w:rsidR="00543971">
        <w:t xml:space="preserve">bolster the </w:t>
      </w:r>
      <w:r>
        <w:t xml:space="preserve">transparency of </w:t>
      </w:r>
      <w:r w:rsidR="00B332C8">
        <w:t xml:space="preserve">the </w:t>
      </w:r>
      <w:r>
        <w:t>ASC review</w:t>
      </w:r>
      <w:r w:rsidR="00B332C8">
        <w:t xml:space="preserve"> process</w:t>
      </w:r>
      <w:r w:rsidR="001C1AB0">
        <w:t>.</w:t>
      </w:r>
    </w:p>
    <w:p w14:paraId="5558F03C" w14:textId="77777777" w:rsidR="00FD6339" w:rsidRDefault="00FD6339" w:rsidP="0026655F">
      <w:pPr>
        <w:spacing w:after="0"/>
      </w:pPr>
    </w:p>
    <w:p w14:paraId="22132C01" w14:textId="4C40B839" w:rsidR="009E0F91" w:rsidRPr="009E0F91" w:rsidRDefault="000B3245" w:rsidP="0026655F">
      <w:pPr>
        <w:spacing w:after="0"/>
        <w:rPr>
          <w:i/>
          <w:iCs/>
        </w:rPr>
      </w:pPr>
      <w:r>
        <w:rPr>
          <w:i/>
          <w:iCs/>
        </w:rPr>
        <w:t>ASC Review Process</w:t>
      </w:r>
    </w:p>
    <w:p w14:paraId="0A34F84E" w14:textId="77777777" w:rsidR="009E0F91" w:rsidRDefault="009E0F91" w:rsidP="0026655F">
      <w:pPr>
        <w:spacing w:after="0"/>
      </w:pPr>
    </w:p>
    <w:p w14:paraId="7622C846" w14:textId="75958AB2" w:rsidR="002F4DB2" w:rsidRDefault="002F4DB2" w:rsidP="0026655F">
      <w:pPr>
        <w:spacing w:after="0"/>
      </w:pPr>
      <w:r w:rsidRPr="002F4DB2">
        <w:t xml:space="preserve">To enhance transparency and ensure stakeholder engagement, BPA should incorporate into its ASC review procedures a requirement that each review process begin with a publicly noticed workshop (such as via tech forum) held at least two weeks before the review process formally begins. BPA should post all workshop materials online in advance or promptly </w:t>
      </w:r>
      <w:proofErr w:type="gramStart"/>
      <w:r w:rsidRPr="002F4DB2">
        <w:t>thereafter, and</w:t>
      </w:r>
      <w:proofErr w:type="gramEnd"/>
      <w:r w:rsidRPr="002F4DB2">
        <w:t xml:space="preserve"> ensure that each workshop is included </w:t>
      </w:r>
      <w:proofErr w:type="gramStart"/>
      <w:r w:rsidRPr="002F4DB2">
        <w:t>on</w:t>
      </w:r>
      <w:proofErr w:type="gramEnd"/>
      <w:r w:rsidRPr="002F4DB2">
        <w:t xml:space="preserve"> BPA’s public events calendar. Establishing this consistent, open kickoff step will provide stakeholders with early notice of BPA’s planned approach for the cycle and support informed participation throughout the ASC review </w:t>
      </w:r>
      <w:commentRangeStart w:id="0"/>
      <w:r w:rsidRPr="002F4DB2">
        <w:t>process</w:t>
      </w:r>
      <w:commentRangeEnd w:id="0"/>
      <w:r w:rsidR="003420FA">
        <w:rPr>
          <w:rStyle w:val="CommentReference"/>
        </w:rPr>
        <w:commentReference w:id="0"/>
      </w:r>
      <w:r w:rsidRPr="002F4DB2">
        <w:t>.</w:t>
      </w:r>
    </w:p>
    <w:p w14:paraId="04EB4F5E" w14:textId="77777777" w:rsidR="002F4DB2" w:rsidRDefault="002F4DB2" w:rsidP="0026655F">
      <w:pPr>
        <w:spacing w:after="0"/>
      </w:pPr>
    </w:p>
    <w:p w14:paraId="5E42D82F" w14:textId="4AB75596" w:rsidR="00E00FA5" w:rsidRPr="00E00FA5" w:rsidRDefault="00E00FA5" w:rsidP="0026655F">
      <w:pPr>
        <w:spacing w:after="0"/>
        <w:rPr>
          <w:i/>
          <w:iCs/>
        </w:rPr>
      </w:pPr>
      <w:r w:rsidRPr="00E00FA5">
        <w:rPr>
          <w:i/>
          <w:iCs/>
        </w:rPr>
        <w:t>Variance Analysis</w:t>
      </w:r>
    </w:p>
    <w:p w14:paraId="40D08A7A" w14:textId="77777777" w:rsidR="0026655F" w:rsidRDefault="0026655F" w:rsidP="0026655F">
      <w:pPr>
        <w:spacing w:after="0"/>
      </w:pPr>
    </w:p>
    <w:p w14:paraId="409594A0" w14:textId="6BF72016" w:rsidR="00250B3E" w:rsidRDefault="00F32D2D" w:rsidP="0026655F">
      <w:pPr>
        <w:spacing w:after="0"/>
      </w:pPr>
      <w:r>
        <w:t>Utility r</w:t>
      </w:r>
      <w:r w:rsidR="00B95570">
        <w:t xml:space="preserve">egulators </w:t>
      </w:r>
      <w:r w:rsidR="00413DB7">
        <w:t xml:space="preserve">commonly </w:t>
      </w:r>
      <w:r w:rsidR="00B95570">
        <w:t>use</w:t>
      </w:r>
      <w:r w:rsidR="00413DB7">
        <w:t xml:space="preserve"> variance analysis</w:t>
      </w:r>
      <w:r w:rsidR="00B95570">
        <w:t xml:space="preserve"> </w:t>
      </w:r>
      <w:r>
        <w:t xml:space="preserve">to flag </w:t>
      </w:r>
      <w:r w:rsidR="00FB1278">
        <w:t xml:space="preserve">individual </w:t>
      </w:r>
      <w:r>
        <w:t xml:space="preserve">FERC accounts </w:t>
      </w:r>
      <w:r w:rsidR="00B75843">
        <w:t>that</w:t>
      </w:r>
      <w:r>
        <w:t xml:space="preserve"> </w:t>
      </w:r>
      <w:r w:rsidR="00B75843">
        <w:t xml:space="preserve">meaningfully </w:t>
      </w:r>
      <w:r>
        <w:t xml:space="preserve">deviate from </w:t>
      </w:r>
      <w:r w:rsidR="00B75843">
        <w:t>past</w:t>
      </w:r>
      <w:r>
        <w:t xml:space="preserve"> years</w:t>
      </w:r>
      <w:r w:rsidR="00B75843">
        <w:t xml:space="preserve"> for further review</w:t>
      </w:r>
      <w:r>
        <w:t>.</w:t>
      </w:r>
      <w:r w:rsidR="001A16C4">
        <w:t xml:space="preserve">  R</w:t>
      </w:r>
      <w:r w:rsidR="0035729A">
        <w:t xml:space="preserve">equiring variance analysis </w:t>
      </w:r>
      <w:r w:rsidR="00FC609F">
        <w:t>on</w:t>
      </w:r>
      <w:r w:rsidR="002B5954">
        <w:t xml:space="preserve"> </w:t>
      </w:r>
      <w:r w:rsidR="0035729A">
        <w:t xml:space="preserve"> </w:t>
      </w:r>
      <w:r w:rsidR="00FC609F">
        <w:t xml:space="preserve">all </w:t>
      </w:r>
      <w:r w:rsidR="0035729A">
        <w:t xml:space="preserve">Appendix 1 inputs </w:t>
      </w:r>
      <w:r w:rsidR="00EE2BBE">
        <w:t xml:space="preserve">will similarly support </w:t>
      </w:r>
      <w:r w:rsidR="005A479A">
        <w:t xml:space="preserve">BPA’s </w:t>
      </w:r>
      <w:r w:rsidR="001A16C4">
        <w:t xml:space="preserve">ASC </w:t>
      </w:r>
      <w:r w:rsidR="005A479A">
        <w:t>development</w:t>
      </w:r>
      <w:r w:rsidR="001A16C4">
        <w:t>.   In the October 24 draft</w:t>
      </w:r>
      <w:r w:rsidR="00EE2BBE">
        <w:t xml:space="preserve"> of BPA’s ASC Rules of Procedure</w:t>
      </w:r>
      <w:r w:rsidR="009F31C2">
        <w:t>,</w:t>
      </w:r>
      <w:r w:rsidR="001A16C4">
        <w:t xml:space="preserve"> </w:t>
      </w:r>
      <w:r w:rsidR="009F31C2">
        <w:rPr>
          <w:rFonts w:cs="Times New Roman"/>
        </w:rPr>
        <w:t>§</w:t>
      </w:r>
      <w:r w:rsidR="001A16C4">
        <w:t xml:space="preserve">2.1.1.1(d) </w:t>
      </w:r>
      <w:r w:rsidR="009F31C2">
        <w:t>obligates participating utilities</w:t>
      </w:r>
      <w:r w:rsidR="00EE2BBE">
        <w:t xml:space="preserve"> to </w:t>
      </w:r>
      <w:r w:rsidR="009F31C2">
        <w:t xml:space="preserve">incorporate variance analysis into their Base Period ASC Filing.  We are encouraged by this </w:t>
      </w:r>
      <w:r w:rsidR="00EE2BBE">
        <w:t xml:space="preserve">explicit </w:t>
      </w:r>
      <w:r w:rsidR="0099371A">
        <w:t>language;</w:t>
      </w:r>
      <w:r w:rsidR="009F31C2">
        <w:t xml:space="preserve"> </w:t>
      </w:r>
      <w:r w:rsidR="00EE2BBE">
        <w:t>however, a</w:t>
      </w:r>
      <w:r w:rsidR="009F31C2">
        <w:t xml:space="preserve"> broader </w:t>
      </w:r>
      <w:r w:rsidR="007219C1">
        <w:t xml:space="preserve">set of years </w:t>
      </w:r>
      <w:r w:rsidR="00A60817">
        <w:t>is necessary to</w:t>
      </w:r>
      <w:r w:rsidR="00BC063F">
        <w:t xml:space="preserve"> provide the requisite scrutiny</w:t>
      </w:r>
      <w:r w:rsidR="007219C1">
        <w:t xml:space="preserve">.  The </w:t>
      </w:r>
      <w:r w:rsidR="00630403">
        <w:t xml:space="preserve">COU’s </w:t>
      </w:r>
      <w:r w:rsidR="00401DF2">
        <w:t>contend</w:t>
      </w:r>
      <w:r w:rsidR="00630403">
        <w:t xml:space="preserve"> that</w:t>
      </w:r>
      <w:r w:rsidR="00E85F53">
        <w:t xml:space="preserve"> </w:t>
      </w:r>
      <w:r w:rsidR="00CD3D2E">
        <w:t xml:space="preserve">it would be </w:t>
      </w:r>
      <w:r w:rsidR="005A681E">
        <w:t>prudent</w:t>
      </w:r>
      <w:r w:rsidR="00F33378">
        <w:t xml:space="preserve"> to </w:t>
      </w:r>
      <w:r w:rsidR="004279F6">
        <w:t>analyze the four years immediately preceding the Base Case year</w:t>
      </w:r>
      <w:r w:rsidR="004F2E6F">
        <w:t xml:space="preserve">.  Therefore, </w:t>
      </w:r>
      <w:r w:rsidR="00E4763E">
        <w:t xml:space="preserve">BPA should </w:t>
      </w:r>
      <w:r w:rsidR="00381DB5">
        <w:t xml:space="preserve">amend </w:t>
      </w:r>
      <w:r w:rsidR="00381DB5">
        <w:rPr>
          <w:rFonts w:cs="Times New Roman"/>
        </w:rPr>
        <w:t>§</w:t>
      </w:r>
      <w:r w:rsidR="00381DB5">
        <w:t xml:space="preserve">2.1.1.1(d) to </w:t>
      </w:r>
      <w:r w:rsidR="00E4763E">
        <w:t xml:space="preserve">require </w:t>
      </w:r>
      <w:r w:rsidR="009F2E47">
        <w:t xml:space="preserve">utility’s </w:t>
      </w:r>
      <w:r w:rsidR="00E4763E">
        <w:t xml:space="preserve">ASC filings to include the Appendix 1 inputs </w:t>
      </w:r>
      <w:r w:rsidR="000323A9">
        <w:t>for</w:t>
      </w:r>
      <w:r w:rsidR="008C6CAC">
        <w:t xml:space="preserve"> </w:t>
      </w:r>
      <w:r w:rsidR="00D47BD5">
        <w:t xml:space="preserve">both </w:t>
      </w:r>
      <w:r w:rsidR="00E85F53">
        <w:t>the</w:t>
      </w:r>
      <w:r w:rsidR="00630403">
        <w:t xml:space="preserve"> </w:t>
      </w:r>
      <w:r w:rsidR="007219C1">
        <w:t xml:space="preserve">two prior Base Period ASC Filings and </w:t>
      </w:r>
      <w:r w:rsidR="00E85F53">
        <w:t xml:space="preserve">the </w:t>
      </w:r>
      <w:r w:rsidR="007219C1">
        <w:t>two prior Informational ASC Fillings</w:t>
      </w:r>
      <w:r w:rsidR="00192FF5">
        <w:t>.</w:t>
      </w:r>
      <w:r w:rsidR="00773DE2">
        <w:t xml:space="preserve">  </w:t>
      </w:r>
      <w:r w:rsidR="00CD7A1E">
        <w:t xml:space="preserve">For each Appendix 1 input, the </w:t>
      </w:r>
      <w:r w:rsidR="00BC5FC5">
        <w:t>Base Period ASC filling</w:t>
      </w:r>
      <w:r w:rsidR="00CD7A1E">
        <w:t xml:space="preserve"> </w:t>
      </w:r>
      <w:r w:rsidR="005F7A48">
        <w:t xml:space="preserve">should </w:t>
      </w:r>
      <w:r w:rsidR="00CD7A1E">
        <w:t xml:space="preserve">establish </w:t>
      </w:r>
      <w:r w:rsidR="005A40C2">
        <w:t>v</w:t>
      </w:r>
      <w:r w:rsidR="00773DE2">
        <w:t xml:space="preserve">ariance between the </w:t>
      </w:r>
      <w:r w:rsidR="001973F1">
        <w:t xml:space="preserve">current </w:t>
      </w:r>
      <w:r w:rsidR="00F95531">
        <w:t>filing</w:t>
      </w:r>
      <w:r w:rsidR="001973F1">
        <w:t xml:space="preserve"> </w:t>
      </w:r>
      <w:r w:rsidR="005A40C2">
        <w:t xml:space="preserve">year </w:t>
      </w:r>
      <w:r w:rsidR="001973F1">
        <w:t xml:space="preserve">and each of the </w:t>
      </w:r>
      <w:r w:rsidR="001349A2">
        <w:t xml:space="preserve">four </w:t>
      </w:r>
      <w:r w:rsidR="001973F1">
        <w:t xml:space="preserve">previous years as well as </w:t>
      </w:r>
      <w:r w:rsidR="007B4320">
        <w:t xml:space="preserve">between the current filing year and the </w:t>
      </w:r>
      <w:r w:rsidR="00DB3B2D">
        <w:t>four-year</w:t>
      </w:r>
      <w:r w:rsidR="00D63BE0">
        <w:t xml:space="preserve"> historical average</w:t>
      </w:r>
      <w:r w:rsidR="005A40C2">
        <w:t>.</w:t>
      </w:r>
      <w:r w:rsidR="00084103">
        <w:t xml:space="preserve">  </w:t>
      </w:r>
      <w:r w:rsidR="00B60A56">
        <w:t xml:space="preserve">Furthermore, </w:t>
      </w:r>
      <w:r w:rsidR="00084103">
        <w:t xml:space="preserve">BPA </w:t>
      </w:r>
      <w:r w:rsidR="0044652B">
        <w:t>should</w:t>
      </w:r>
      <w:r w:rsidR="00C03AFA">
        <w:t xml:space="preserve"> </w:t>
      </w:r>
      <w:r w:rsidR="00AF27CB">
        <w:t xml:space="preserve">overtly </w:t>
      </w:r>
      <w:r w:rsidR="00C77418">
        <w:t>reserve</w:t>
      </w:r>
      <w:r w:rsidR="00084103">
        <w:t xml:space="preserve"> the right </w:t>
      </w:r>
      <w:r w:rsidR="0073618D">
        <w:t xml:space="preserve">in the ASC Rules of Procedure </w:t>
      </w:r>
      <w:r w:rsidR="00084103">
        <w:t>to normalize</w:t>
      </w:r>
      <w:r w:rsidR="00276C3B">
        <w:t xml:space="preserve"> </w:t>
      </w:r>
      <w:r w:rsidR="002549D3">
        <w:t>Appendix 1 inputs</w:t>
      </w:r>
      <w:r w:rsidR="00EE08B1">
        <w:t xml:space="preserve"> </w:t>
      </w:r>
      <w:r w:rsidR="00F914CF">
        <w:t>if the utility</w:t>
      </w:r>
      <w:r w:rsidR="007849E8">
        <w:t xml:space="preserve"> cannot provide adequate justification</w:t>
      </w:r>
      <w:r w:rsidR="00EE08B1">
        <w:t xml:space="preserve"> for </w:t>
      </w:r>
      <w:r w:rsidR="001A14E4">
        <w:t>major</w:t>
      </w:r>
      <w:r w:rsidR="00EE08B1">
        <w:t xml:space="preserve"> </w:t>
      </w:r>
      <w:commentRangeStart w:id="1"/>
      <w:r w:rsidR="00EE08B1">
        <w:t>deviation</w:t>
      </w:r>
      <w:r w:rsidR="001A14E4">
        <w:t>s</w:t>
      </w:r>
      <w:commentRangeEnd w:id="1"/>
      <w:r w:rsidR="003420FA">
        <w:rPr>
          <w:rStyle w:val="CommentReference"/>
        </w:rPr>
        <w:commentReference w:id="1"/>
      </w:r>
      <w:r w:rsidR="007849E8">
        <w:t>.</w:t>
      </w:r>
    </w:p>
    <w:p w14:paraId="4733DF79" w14:textId="77777777" w:rsidR="00586A4F" w:rsidRDefault="00586A4F" w:rsidP="0026655F">
      <w:pPr>
        <w:spacing w:after="0"/>
      </w:pPr>
    </w:p>
    <w:p w14:paraId="7EB085CE" w14:textId="031DCF3B" w:rsidR="009E0F91" w:rsidRPr="009E0F91" w:rsidRDefault="00EE3AA4" w:rsidP="0026655F">
      <w:pPr>
        <w:spacing w:after="0"/>
        <w:rPr>
          <w:i/>
          <w:iCs/>
        </w:rPr>
      </w:pPr>
      <w:r>
        <w:rPr>
          <w:i/>
          <w:iCs/>
        </w:rPr>
        <w:t>Exclusion</w:t>
      </w:r>
      <w:r w:rsidR="007362C1">
        <w:rPr>
          <w:i/>
          <w:iCs/>
        </w:rPr>
        <w:t xml:space="preserve"> of </w:t>
      </w:r>
      <w:r w:rsidR="00370553">
        <w:rPr>
          <w:i/>
          <w:iCs/>
        </w:rPr>
        <w:t>Disallowed Costs</w:t>
      </w:r>
    </w:p>
    <w:p w14:paraId="1A15AE50" w14:textId="77777777" w:rsidR="0026655F" w:rsidRDefault="0026655F" w:rsidP="0026655F">
      <w:pPr>
        <w:spacing w:after="0"/>
      </w:pPr>
    </w:p>
    <w:p w14:paraId="1B5200CC" w14:textId="34A3A5CD" w:rsidR="00C85C70" w:rsidRDefault="006D1892" w:rsidP="00AF7BEA">
      <w:pPr>
        <w:spacing w:after="0"/>
        <w:rPr>
          <w:rFonts w:eastAsia="Times New Roman"/>
        </w:rPr>
      </w:pPr>
      <w:r>
        <w:t>T</w:t>
      </w:r>
      <w:r w:rsidR="00216C70">
        <w:t xml:space="preserve">o protect customers, </w:t>
      </w:r>
      <w:r w:rsidR="008A6060">
        <w:t>IOU’s</w:t>
      </w:r>
      <w:r>
        <w:t xml:space="preserve"> rate making </w:t>
      </w:r>
      <w:r w:rsidR="000D0C7F">
        <w:t xml:space="preserve">requires robust </w:t>
      </w:r>
      <w:r w:rsidR="008A6060">
        <w:t>regulatory review</w:t>
      </w:r>
      <w:r w:rsidR="00FB4A4C">
        <w:t xml:space="preserve"> which </w:t>
      </w:r>
      <w:r w:rsidR="00EB7F24">
        <w:t>routinely</w:t>
      </w:r>
      <w:r w:rsidR="008429B8">
        <w:t xml:space="preserve"> disallows </w:t>
      </w:r>
      <w:r w:rsidR="00415B17">
        <w:t>cost</w:t>
      </w:r>
      <w:r w:rsidR="005072DE">
        <w:t xml:space="preserve">s </w:t>
      </w:r>
      <w:r w:rsidR="001F2360">
        <w:t>from being</w:t>
      </w:r>
      <w:r w:rsidR="005072DE">
        <w:t xml:space="preserve"> </w:t>
      </w:r>
      <w:r w:rsidR="008F4B43">
        <w:t xml:space="preserve">borne by </w:t>
      </w:r>
      <w:r w:rsidR="00322F07">
        <w:t xml:space="preserve">utility </w:t>
      </w:r>
      <w:r w:rsidR="004F3885">
        <w:t>ratepayers</w:t>
      </w:r>
      <w:r w:rsidR="00CC0C80">
        <w:t>.</w:t>
      </w:r>
      <w:r w:rsidR="001B38B1">
        <w:t xml:space="preserve"> </w:t>
      </w:r>
      <w:r w:rsidR="00363BF4">
        <w:t xml:space="preserve"> </w:t>
      </w:r>
      <w:r w:rsidR="00D671E0">
        <w:t>In the REP</w:t>
      </w:r>
      <w:r w:rsidR="00D3777D">
        <w:t>,</w:t>
      </w:r>
      <w:r w:rsidR="00A9217B">
        <w:t xml:space="preserve"> </w:t>
      </w:r>
      <w:r w:rsidR="00C8446F">
        <w:t xml:space="preserve">each </w:t>
      </w:r>
      <w:r w:rsidR="00EF6029">
        <w:t xml:space="preserve">IOU’s </w:t>
      </w:r>
      <w:r w:rsidR="00A9217B">
        <w:t xml:space="preserve">ASC </w:t>
      </w:r>
      <w:r w:rsidR="00D22F09">
        <w:t>will be</w:t>
      </w:r>
      <w:r w:rsidR="00A9217B">
        <w:t xml:space="preserve"> developed </w:t>
      </w:r>
      <w:r w:rsidR="009969CA">
        <w:t xml:space="preserve">using </w:t>
      </w:r>
      <w:r w:rsidR="00F8165F">
        <w:t>Appendix 1</w:t>
      </w:r>
      <w:r w:rsidR="00C8446F">
        <w:t xml:space="preserve"> inputs</w:t>
      </w:r>
      <w:r w:rsidR="00F8165F">
        <w:t xml:space="preserve"> </w:t>
      </w:r>
      <w:r w:rsidR="009750B5">
        <w:t xml:space="preserve">which </w:t>
      </w:r>
      <w:r w:rsidR="00FB4A55">
        <w:t>rel</w:t>
      </w:r>
      <w:r w:rsidR="00C8446F">
        <w:t>y</w:t>
      </w:r>
      <w:r w:rsidR="00FB4A55">
        <w:t xml:space="preserve"> on FERC Form 1 data</w:t>
      </w:r>
      <w:r w:rsidR="009750B5">
        <w:t xml:space="preserve">.  FERC Form 1 is a </w:t>
      </w:r>
      <w:r w:rsidR="00F8165F">
        <w:t>financial accounting record, not a ratemaking document.</w:t>
      </w:r>
      <w:r w:rsidR="0086758F">
        <w:t xml:space="preserve">  </w:t>
      </w:r>
      <w:r w:rsidR="00C12CD4">
        <w:t>It can, and will, include disallowed costs</w:t>
      </w:r>
      <w:r w:rsidR="00583F4A">
        <w:t xml:space="preserve">.  </w:t>
      </w:r>
      <w:r w:rsidR="00AF7BEA" w:rsidRPr="00614A6F">
        <w:t>C</w:t>
      </w:r>
      <w:r w:rsidR="00AF7BEA" w:rsidRPr="00614A6F">
        <w:rPr>
          <w:rFonts w:eastAsia="Times New Roman"/>
        </w:rPr>
        <w:t>osts included in FERC accounts that are disallowed by the IOU’s regulatory commission(s) for retail ratemaking must be identified (nature and amount) and removed for ASC purposes.</w:t>
      </w:r>
      <w:r w:rsidR="00AF7BEA" w:rsidRPr="0050379F">
        <w:rPr>
          <w:rFonts w:eastAsia="Times New Roman"/>
        </w:rPr>
        <w:t xml:space="preserve">  This </w:t>
      </w:r>
      <w:r w:rsidR="00AF7BEA">
        <w:rPr>
          <w:rFonts w:eastAsia="Times New Roman"/>
        </w:rPr>
        <w:t>will</w:t>
      </w:r>
      <w:r w:rsidR="00AF7BEA" w:rsidRPr="0050379F">
        <w:rPr>
          <w:rFonts w:eastAsia="Times New Roman"/>
        </w:rPr>
        <w:t xml:space="preserve"> better align </w:t>
      </w:r>
      <w:r w:rsidR="00C05C24">
        <w:rPr>
          <w:rFonts w:eastAsia="Times New Roman"/>
        </w:rPr>
        <w:t xml:space="preserve">utility ASC filings with </w:t>
      </w:r>
      <w:r w:rsidR="00AF7BEA" w:rsidRPr="0050379F">
        <w:rPr>
          <w:rFonts w:eastAsia="Times New Roman"/>
        </w:rPr>
        <w:t xml:space="preserve">retail ratemaking. </w:t>
      </w:r>
      <w:r w:rsidR="0077529E">
        <w:rPr>
          <w:rFonts w:eastAsia="Times New Roman"/>
        </w:rPr>
        <w:t xml:space="preserve"> </w:t>
      </w:r>
      <w:r w:rsidR="00AF7BEA" w:rsidRPr="0050379F">
        <w:rPr>
          <w:rFonts w:eastAsia="Times New Roman"/>
        </w:rPr>
        <w:t xml:space="preserve">If the utility’s ASC FERC accounting period doesn’t match the test period used by the regulatory commission for IOU retail ratemaking, such </w:t>
      </w:r>
      <w:proofErr w:type="gramStart"/>
      <w:r w:rsidR="00AF7BEA" w:rsidRPr="0050379F">
        <w:rPr>
          <w:rFonts w:eastAsia="Times New Roman"/>
        </w:rPr>
        <w:t>like</w:t>
      </w:r>
      <w:proofErr w:type="gramEnd"/>
      <w:r w:rsidR="00AF7BEA" w:rsidRPr="0050379F">
        <w:rPr>
          <w:rFonts w:eastAsia="Times New Roman"/>
        </w:rPr>
        <w:t xml:space="preserve"> </w:t>
      </w:r>
      <w:r w:rsidR="00B23F3E">
        <w:rPr>
          <w:rFonts w:eastAsia="Times New Roman"/>
        </w:rPr>
        <w:t xml:space="preserve">disallowed </w:t>
      </w:r>
      <w:r w:rsidR="00AF7BEA" w:rsidRPr="0050379F">
        <w:rPr>
          <w:rFonts w:eastAsia="Times New Roman"/>
        </w:rPr>
        <w:t xml:space="preserve">costs </w:t>
      </w:r>
      <w:r w:rsidR="00F12CA4">
        <w:rPr>
          <w:rFonts w:eastAsia="Times New Roman"/>
        </w:rPr>
        <w:t>should</w:t>
      </w:r>
      <w:r w:rsidR="00AF7BEA" w:rsidRPr="0050379F">
        <w:rPr>
          <w:rFonts w:eastAsia="Times New Roman"/>
        </w:rPr>
        <w:t xml:space="preserve"> be identified and removed from specific accounts in the utility’s ASC filings if applicable</w:t>
      </w:r>
      <w:commentRangeStart w:id="2"/>
      <w:r w:rsidR="0035210D">
        <w:rPr>
          <w:rStyle w:val="FootnoteReference"/>
          <w:rFonts w:eastAsia="Times New Roman"/>
        </w:rPr>
        <w:footnoteReference w:id="1"/>
      </w:r>
      <w:commentRangeEnd w:id="2"/>
      <w:r w:rsidR="00D9526D">
        <w:rPr>
          <w:rStyle w:val="CommentReference"/>
        </w:rPr>
        <w:commentReference w:id="2"/>
      </w:r>
      <w:r w:rsidR="00AF7BEA">
        <w:rPr>
          <w:rFonts w:eastAsia="Times New Roman"/>
        </w:rPr>
        <w:t>.</w:t>
      </w:r>
      <w:r w:rsidR="001254BF">
        <w:rPr>
          <w:rFonts w:eastAsia="Times New Roman"/>
        </w:rPr>
        <w:t xml:space="preserve">  </w:t>
      </w:r>
    </w:p>
    <w:p w14:paraId="677AAF1F" w14:textId="77777777" w:rsidR="00C85C70" w:rsidRDefault="00C85C70" w:rsidP="00AF7BEA">
      <w:pPr>
        <w:spacing w:after="0"/>
        <w:rPr>
          <w:rFonts w:eastAsia="Times New Roman"/>
        </w:rPr>
      </w:pPr>
    </w:p>
    <w:p w14:paraId="00B2BA8E" w14:textId="33F56043" w:rsidR="008964C2" w:rsidRDefault="00184A10" w:rsidP="00AF7BEA">
      <w:pPr>
        <w:spacing w:after="0"/>
        <w:rPr>
          <w:rFonts w:eastAsia="Times New Roman"/>
        </w:rPr>
      </w:pPr>
      <w:r>
        <w:rPr>
          <w:rFonts w:eastAsia="Times New Roman"/>
        </w:rPr>
        <w:t xml:space="preserve">To </w:t>
      </w:r>
      <w:r w:rsidR="00E37BAD">
        <w:rPr>
          <w:rFonts w:eastAsia="Times New Roman"/>
        </w:rPr>
        <w:t>ensure IOU compliance with the recommended cost exclusions,</w:t>
      </w:r>
      <w:r w:rsidR="00B54EE8">
        <w:rPr>
          <w:rFonts w:eastAsia="Times New Roman"/>
        </w:rPr>
        <w:t xml:space="preserve"> BPA should </w:t>
      </w:r>
      <w:r w:rsidR="00394BF4">
        <w:rPr>
          <w:rFonts w:eastAsia="Times New Roman"/>
        </w:rPr>
        <w:t>amend Attachment A</w:t>
      </w:r>
      <w:r w:rsidR="000C1895">
        <w:rPr>
          <w:rFonts w:eastAsia="Times New Roman"/>
        </w:rPr>
        <w:t xml:space="preserve"> </w:t>
      </w:r>
      <w:r w:rsidR="001D650B">
        <w:rPr>
          <w:rFonts w:eastAsia="Times New Roman"/>
        </w:rPr>
        <w:t xml:space="preserve">“Senior Financial Officer Attestation” </w:t>
      </w:r>
      <w:r w:rsidR="000C1895">
        <w:rPr>
          <w:rFonts w:eastAsia="Times New Roman"/>
        </w:rPr>
        <w:t>to read</w:t>
      </w:r>
      <w:r w:rsidR="008964C2">
        <w:rPr>
          <w:rFonts w:eastAsia="Times New Roman"/>
        </w:rPr>
        <w:t>:</w:t>
      </w:r>
    </w:p>
    <w:p w14:paraId="73CFC45B" w14:textId="77777777" w:rsidR="009A0E17" w:rsidRDefault="009A0E17" w:rsidP="00AF7BEA">
      <w:pPr>
        <w:spacing w:after="0"/>
        <w:rPr>
          <w:rFonts w:eastAsia="Times New Roman"/>
        </w:rPr>
      </w:pPr>
    </w:p>
    <w:p w14:paraId="58EEFC3E" w14:textId="3D5792B8" w:rsidR="00323740" w:rsidRPr="00782EB5" w:rsidRDefault="008964C2" w:rsidP="00DB3641">
      <w:pPr>
        <w:spacing w:after="0"/>
        <w:ind w:left="720"/>
        <w:rPr>
          <w:rFonts w:ascii="Cambria" w:eastAsia="Times New Roman" w:hAnsi="Cambria"/>
          <w:sz w:val="24"/>
          <w:szCs w:val="24"/>
        </w:rPr>
      </w:pPr>
      <w:r w:rsidRPr="00782EB5">
        <w:rPr>
          <w:rFonts w:ascii="Cambria" w:hAnsi="Cambria"/>
          <w:sz w:val="24"/>
          <w:szCs w:val="24"/>
        </w:rPr>
        <w:t>2.  The Base Period ASC Filing excludes the costs associated with:</w:t>
      </w:r>
      <w:bookmarkStart w:id="3" w:name="_Hlk213402588"/>
      <w:r w:rsidRPr="00782EB5">
        <w:rPr>
          <w:rFonts w:ascii="Cambria" w:hAnsi="Cambria"/>
          <w:sz w:val="24"/>
          <w:szCs w:val="24"/>
        </w:rPr>
        <w:t xml:space="preserve"> </w:t>
      </w:r>
      <w:bookmarkEnd w:id="3"/>
      <w:r w:rsidRPr="00782EB5">
        <w:rPr>
          <w:rFonts w:ascii="Cambria" w:hAnsi="Cambria"/>
          <w:sz w:val="24"/>
          <w:szCs w:val="24"/>
        </w:rPr>
        <w:t xml:space="preserve">(a) the cost of additional resources in an amount sufficient to serve any New Large Single Load (NLSL) after September 1, 1979; (b) the cost of additional resources in an amount sufficient to meet any additional load outside the region occurring after December 5, 1980; (c) </w:t>
      </w:r>
      <w:r w:rsidR="002739AE">
        <w:rPr>
          <w:rFonts w:ascii="Cambria" w:hAnsi="Cambria"/>
          <w:sz w:val="24"/>
          <w:szCs w:val="24"/>
        </w:rPr>
        <w:t>the costs</w:t>
      </w:r>
      <w:r w:rsidRPr="00782EB5">
        <w:rPr>
          <w:rFonts w:ascii="Cambria" w:hAnsi="Cambria"/>
          <w:sz w:val="24"/>
          <w:szCs w:val="24"/>
        </w:rPr>
        <w:t xml:space="preserve"> of any generating facility which is terminated prior to initial commercial operation</w:t>
      </w:r>
      <w:r w:rsidR="00DB3641" w:rsidRPr="00782EB5">
        <w:rPr>
          <w:rFonts w:ascii="Cambria" w:hAnsi="Cambria"/>
          <w:sz w:val="24"/>
          <w:szCs w:val="24"/>
        </w:rPr>
        <w:t xml:space="preserve">; </w:t>
      </w:r>
      <w:r w:rsidR="00EA78A3" w:rsidRPr="00782EB5">
        <w:rPr>
          <w:rFonts w:ascii="Cambria" w:hAnsi="Cambria"/>
          <w:sz w:val="24"/>
          <w:szCs w:val="24"/>
        </w:rPr>
        <w:t>and</w:t>
      </w:r>
      <w:r w:rsidR="003C7F6A" w:rsidRPr="00782EB5">
        <w:rPr>
          <w:rFonts w:ascii="Cambria" w:hAnsi="Cambria"/>
          <w:sz w:val="24"/>
          <w:szCs w:val="24"/>
        </w:rPr>
        <w:t xml:space="preserve"> </w:t>
      </w:r>
      <w:r w:rsidR="00EB56ED" w:rsidRPr="00782EB5">
        <w:rPr>
          <w:rFonts w:ascii="Cambria" w:eastAsia="Times New Roman" w:hAnsi="Cambria"/>
          <w:sz w:val="24"/>
          <w:szCs w:val="24"/>
          <w:u w:val="single"/>
        </w:rPr>
        <w:t>(d)</w:t>
      </w:r>
      <w:r w:rsidR="00247D64" w:rsidRPr="00782EB5">
        <w:rPr>
          <w:rFonts w:ascii="Cambria" w:eastAsia="Times New Roman" w:hAnsi="Cambria"/>
          <w:sz w:val="24"/>
          <w:szCs w:val="24"/>
          <w:u w:val="single"/>
        </w:rPr>
        <w:t xml:space="preserve"> </w:t>
      </w:r>
      <w:r w:rsidR="007F1ACD" w:rsidRPr="00782EB5">
        <w:rPr>
          <w:rFonts w:ascii="Cambria" w:eastAsia="Times New Roman" w:hAnsi="Cambria"/>
          <w:sz w:val="24"/>
          <w:szCs w:val="24"/>
          <w:u w:val="single"/>
        </w:rPr>
        <w:t xml:space="preserve">any costs </w:t>
      </w:r>
      <w:r w:rsidR="004F7BAD">
        <w:rPr>
          <w:rFonts w:ascii="Cambria" w:eastAsia="Times New Roman" w:hAnsi="Cambria"/>
          <w:sz w:val="24"/>
          <w:szCs w:val="24"/>
          <w:u w:val="single"/>
        </w:rPr>
        <w:t xml:space="preserve">or like costs </w:t>
      </w:r>
      <w:r w:rsidR="001B6315">
        <w:rPr>
          <w:rFonts w:ascii="Cambria" w:eastAsia="Times New Roman" w:hAnsi="Cambria"/>
          <w:sz w:val="24"/>
          <w:szCs w:val="24"/>
          <w:u w:val="single"/>
        </w:rPr>
        <w:t>reported in a utilities FERC Form 1 filing</w:t>
      </w:r>
      <w:r w:rsidR="007F1ACD" w:rsidRPr="00782EB5">
        <w:rPr>
          <w:rFonts w:ascii="Cambria" w:eastAsia="Times New Roman" w:hAnsi="Cambria"/>
          <w:sz w:val="24"/>
          <w:szCs w:val="24"/>
          <w:u w:val="single"/>
        </w:rPr>
        <w:t xml:space="preserve"> </w:t>
      </w:r>
      <w:r w:rsidR="00BD5E7B" w:rsidRPr="00782EB5">
        <w:rPr>
          <w:rFonts w:ascii="Cambria" w:eastAsia="Times New Roman" w:hAnsi="Cambria"/>
          <w:sz w:val="24"/>
          <w:szCs w:val="24"/>
          <w:u w:val="single"/>
        </w:rPr>
        <w:t xml:space="preserve">that were </w:t>
      </w:r>
      <w:r w:rsidR="007F1ACD" w:rsidRPr="00782EB5">
        <w:rPr>
          <w:rFonts w:ascii="Cambria" w:eastAsia="Times New Roman" w:hAnsi="Cambria"/>
          <w:sz w:val="24"/>
          <w:szCs w:val="24"/>
          <w:u w:val="single"/>
        </w:rPr>
        <w:t>disallowed</w:t>
      </w:r>
      <w:r w:rsidR="00364329" w:rsidRPr="00782EB5">
        <w:rPr>
          <w:rFonts w:ascii="Cambria" w:eastAsia="Times New Roman" w:hAnsi="Cambria"/>
          <w:sz w:val="24"/>
          <w:szCs w:val="24"/>
          <w:u w:val="single"/>
        </w:rPr>
        <w:t xml:space="preserve"> </w:t>
      </w:r>
      <w:r w:rsidR="007F1ACD" w:rsidRPr="00782EB5">
        <w:rPr>
          <w:rFonts w:ascii="Cambria" w:eastAsia="Times New Roman" w:hAnsi="Cambria"/>
          <w:sz w:val="24"/>
          <w:szCs w:val="24"/>
          <w:u w:val="single"/>
        </w:rPr>
        <w:t>by</w:t>
      </w:r>
      <w:r w:rsidR="00286F66" w:rsidRPr="00782EB5">
        <w:rPr>
          <w:rFonts w:ascii="Cambria" w:eastAsia="Times New Roman" w:hAnsi="Cambria"/>
          <w:sz w:val="24"/>
          <w:szCs w:val="24"/>
          <w:u w:val="single"/>
        </w:rPr>
        <w:t xml:space="preserve"> </w:t>
      </w:r>
      <w:r w:rsidR="00FF0EBB">
        <w:rPr>
          <w:rFonts w:ascii="Cambria" w:eastAsia="Times New Roman" w:hAnsi="Cambria"/>
          <w:sz w:val="24"/>
          <w:szCs w:val="24"/>
          <w:u w:val="single"/>
        </w:rPr>
        <w:t xml:space="preserve">any </w:t>
      </w:r>
      <w:r w:rsidR="003D2612">
        <w:rPr>
          <w:rFonts w:ascii="Cambria" w:eastAsia="Times New Roman" w:hAnsi="Cambria"/>
          <w:sz w:val="24"/>
          <w:szCs w:val="24"/>
          <w:u w:val="single"/>
        </w:rPr>
        <w:t>R</w:t>
      </w:r>
      <w:r w:rsidR="0025328A">
        <w:rPr>
          <w:rFonts w:ascii="Cambria" w:eastAsia="Times New Roman" w:hAnsi="Cambria"/>
          <w:sz w:val="24"/>
          <w:szCs w:val="24"/>
          <w:u w:val="single"/>
        </w:rPr>
        <w:t xml:space="preserve">egulatory </w:t>
      </w:r>
      <w:r w:rsidR="003D2612">
        <w:rPr>
          <w:rFonts w:ascii="Cambria" w:eastAsia="Times New Roman" w:hAnsi="Cambria"/>
          <w:sz w:val="24"/>
          <w:szCs w:val="24"/>
          <w:u w:val="single"/>
        </w:rPr>
        <w:t>B</w:t>
      </w:r>
      <w:r w:rsidR="0025328A">
        <w:rPr>
          <w:rFonts w:ascii="Cambria" w:eastAsia="Times New Roman" w:hAnsi="Cambria"/>
          <w:sz w:val="24"/>
          <w:szCs w:val="24"/>
          <w:u w:val="single"/>
        </w:rPr>
        <w:t>ody</w:t>
      </w:r>
      <w:r w:rsidR="003D2612">
        <w:rPr>
          <w:rFonts w:ascii="Cambria" w:eastAsia="Times New Roman" w:hAnsi="Cambria"/>
          <w:sz w:val="24"/>
          <w:szCs w:val="24"/>
          <w:u w:val="single"/>
        </w:rPr>
        <w:t>(</w:t>
      </w:r>
      <w:r w:rsidR="002A50FC">
        <w:rPr>
          <w:rFonts w:ascii="Cambria" w:eastAsia="Times New Roman" w:hAnsi="Cambria"/>
          <w:sz w:val="24"/>
          <w:szCs w:val="24"/>
          <w:u w:val="single"/>
        </w:rPr>
        <w:t>ies</w:t>
      </w:r>
      <w:r w:rsidR="003D2612">
        <w:rPr>
          <w:rFonts w:ascii="Cambria" w:eastAsia="Times New Roman" w:hAnsi="Cambria"/>
          <w:sz w:val="24"/>
          <w:szCs w:val="24"/>
          <w:u w:val="single"/>
        </w:rPr>
        <w:t>)</w:t>
      </w:r>
      <w:r w:rsidR="00FE2EBF">
        <w:rPr>
          <w:rFonts w:ascii="Cambria" w:eastAsia="Times New Roman" w:hAnsi="Cambria"/>
          <w:sz w:val="24"/>
          <w:szCs w:val="24"/>
          <w:u w:val="single"/>
        </w:rPr>
        <w:t xml:space="preserve"> with jurisdiction </w:t>
      </w:r>
      <w:r w:rsidR="003D0773">
        <w:rPr>
          <w:rFonts w:ascii="Cambria" w:eastAsia="Times New Roman" w:hAnsi="Cambria"/>
          <w:sz w:val="24"/>
          <w:szCs w:val="24"/>
          <w:u w:val="single"/>
        </w:rPr>
        <w:t xml:space="preserve">to approve retail </w:t>
      </w:r>
      <w:r w:rsidR="0062272E">
        <w:rPr>
          <w:rFonts w:ascii="Cambria" w:eastAsia="Times New Roman" w:hAnsi="Cambria"/>
          <w:sz w:val="24"/>
          <w:szCs w:val="24"/>
          <w:u w:val="single"/>
        </w:rPr>
        <w:t xml:space="preserve">or wholesale </w:t>
      </w:r>
      <w:r w:rsidR="003D0773">
        <w:rPr>
          <w:rFonts w:ascii="Cambria" w:eastAsia="Times New Roman" w:hAnsi="Cambria"/>
          <w:sz w:val="24"/>
          <w:szCs w:val="24"/>
          <w:u w:val="single"/>
        </w:rPr>
        <w:t>rates</w:t>
      </w:r>
      <w:r w:rsidR="00590D01">
        <w:rPr>
          <w:rFonts w:ascii="Cambria" w:eastAsia="Times New Roman" w:hAnsi="Cambria"/>
          <w:sz w:val="24"/>
          <w:szCs w:val="24"/>
          <w:u w:val="single"/>
        </w:rPr>
        <w:t xml:space="preserve"> in the region</w:t>
      </w:r>
      <w:r w:rsidR="0025328A">
        <w:rPr>
          <w:rFonts w:ascii="Cambria" w:eastAsia="Times New Roman" w:hAnsi="Cambria"/>
          <w:sz w:val="24"/>
          <w:szCs w:val="24"/>
          <w:u w:val="single"/>
        </w:rPr>
        <w:t>.</w:t>
      </w:r>
    </w:p>
    <w:p w14:paraId="0B63DB0D" w14:textId="60F897FF" w:rsidR="0080236E" w:rsidRDefault="0080236E" w:rsidP="00D9217B">
      <w:pPr>
        <w:spacing w:after="0"/>
      </w:pPr>
    </w:p>
    <w:p w14:paraId="31E9EF17" w14:textId="11813FA2" w:rsidR="00CC5290" w:rsidRDefault="00E27576" w:rsidP="0026655F">
      <w:pPr>
        <w:spacing w:after="0"/>
      </w:pPr>
      <w:r>
        <w:t xml:space="preserve">The COU’s </w:t>
      </w:r>
      <w:r w:rsidR="00332EA7">
        <w:t>offer</w:t>
      </w:r>
      <w:r w:rsidR="00EE3AA4">
        <w:t xml:space="preserve"> this </w:t>
      </w:r>
      <w:r w:rsidR="00AD0628">
        <w:t>solution</w:t>
      </w:r>
      <w:r w:rsidR="00EE3AA4">
        <w:t xml:space="preserve"> </w:t>
      </w:r>
      <w:r w:rsidR="00554DB7">
        <w:t>to align ASC development with the intent of the Northwest Power Act.  In the</w:t>
      </w:r>
      <w:r w:rsidR="00AC0303">
        <w:t xml:space="preserve"> </w:t>
      </w:r>
      <w:r w:rsidR="007B353B">
        <w:t>legislative history</w:t>
      </w:r>
      <w:r w:rsidR="00F54D5C">
        <w:rPr>
          <w:rStyle w:val="FootnoteReference"/>
        </w:rPr>
        <w:footnoteReference w:id="2"/>
      </w:r>
      <w:r w:rsidR="00554DB7">
        <w:t xml:space="preserve">, </w:t>
      </w:r>
      <w:r w:rsidR="00FB7603">
        <w:t xml:space="preserve">the </w:t>
      </w:r>
      <w:r w:rsidR="00191D4F">
        <w:t>express</w:t>
      </w:r>
      <w:r w:rsidR="00277F25">
        <w:t xml:space="preserve"> purpose of the REP </w:t>
      </w:r>
      <w:r w:rsidR="005C7A99">
        <w:t xml:space="preserve">– subject to statutory limitations – </w:t>
      </w:r>
      <w:r w:rsidR="00E13C0C">
        <w:t>is</w:t>
      </w:r>
      <w:r w:rsidR="00277F25">
        <w:t xml:space="preserve"> to reduce retail rate disparity </w:t>
      </w:r>
      <w:r w:rsidR="005C7A99">
        <w:t>between</w:t>
      </w:r>
      <w:r w:rsidR="00277F25">
        <w:t xml:space="preserve"> </w:t>
      </w:r>
      <w:r w:rsidR="00400756">
        <w:t>residential and small farm customers</w:t>
      </w:r>
      <w:r w:rsidR="00B32A9B">
        <w:t xml:space="preserve"> </w:t>
      </w:r>
      <w:r w:rsidR="0084527D">
        <w:t>regionwide</w:t>
      </w:r>
      <w:r w:rsidR="006E2581">
        <w:t>.</w:t>
      </w:r>
      <w:r w:rsidR="00B32A9B">
        <w:t xml:space="preserve">  </w:t>
      </w:r>
      <w:r w:rsidR="008F0082">
        <w:t>To</w:t>
      </w:r>
      <w:r w:rsidR="00B32A9B">
        <w:t xml:space="preserve"> the extent </w:t>
      </w:r>
      <w:r w:rsidR="003D2612">
        <w:t>R</w:t>
      </w:r>
      <w:r w:rsidR="0032162B">
        <w:t xml:space="preserve">egulatory </w:t>
      </w:r>
      <w:r w:rsidR="003D2612">
        <w:t>B</w:t>
      </w:r>
      <w:r w:rsidR="00365413">
        <w:t>ody</w:t>
      </w:r>
      <w:r w:rsidR="003D2612">
        <w:t>(</w:t>
      </w:r>
      <w:r w:rsidR="003D3F22">
        <w:t>ies</w:t>
      </w:r>
      <w:r w:rsidR="003D2612">
        <w:t>)</w:t>
      </w:r>
      <w:r w:rsidR="008F0082">
        <w:t xml:space="preserve"> </w:t>
      </w:r>
      <w:r w:rsidR="00B97A07">
        <w:t xml:space="preserve">direct </w:t>
      </w:r>
      <w:r w:rsidR="000D69C1">
        <w:t>costs to be borne by shareholders as opposed to rate payers</w:t>
      </w:r>
      <w:r w:rsidR="00066C93">
        <w:t xml:space="preserve"> –</w:t>
      </w:r>
      <w:r w:rsidR="005C0256">
        <w:t xml:space="preserve"> by disallowing costs</w:t>
      </w:r>
      <w:r w:rsidR="00066C93">
        <w:t xml:space="preserve"> –</w:t>
      </w:r>
      <w:r w:rsidR="005C0256">
        <w:t xml:space="preserve"> </w:t>
      </w:r>
      <w:r w:rsidR="00B97A07">
        <w:t>th</w:t>
      </w:r>
      <w:r w:rsidR="000243EA">
        <w:t xml:space="preserve">ere is no reason </w:t>
      </w:r>
      <w:r w:rsidR="00DB4F07">
        <w:t xml:space="preserve">REP payers </w:t>
      </w:r>
      <w:r w:rsidR="001457F7">
        <w:t>should</w:t>
      </w:r>
      <w:r w:rsidR="00DB4F07">
        <w:t xml:space="preserve"> </w:t>
      </w:r>
      <w:r w:rsidR="005D766E">
        <w:t>subsidize</w:t>
      </w:r>
      <w:r w:rsidR="00DA635F">
        <w:t xml:space="preserve"> costs</w:t>
      </w:r>
      <w:r w:rsidR="00447263">
        <w:t xml:space="preserve"> </w:t>
      </w:r>
      <w:r w:rsidR="000B74C2">
        <w:t xml:space="preserve">that </w:t>
      </w:r>
      <w:r w:rsidR="0046563D">
        <w:t>have been excluded from retail</w:t>
      </w:r>
      <w:r w:rsidR="000B74C2">
        <w:t xml:space="preserve"> rates</w:t>
      </w:r>
      <w:r w:rsidR="005A7332">
        <w:t>.</w:t>
      </w:r>
      <w:r w:rsidR="000B74C2">
        <w:t xml:space="preserve">  </w:t>
      </w:r>
      <w:r w:rsidR="00CC26C7">
        <w:t>T</w:t>
      </w:r>
      <w:r w:rsidR="009753CD">
        <w:t>he prospect of u</w:t>
      </w:r>
      <w:r w:rsidR="00511FFC">
        <w:t xml:space="preserve">nrecoverable costs decreasing earnings </w:t>
      </w:r>
      <w:r w:rsidR="00C42184">
        <w:t xml:space="preserve">is </w:t>
      </w:r>
      <w:r w:rsidR="00B34351">
        <w:t>part</w:t>
      </w:r>
      <w:r w:rsidR="003C1A6D">
        <w:t xml:space="preserve"> of the regulatory risk</w:t>
      </w:r>
      <w:r w:rsidR="00511FFC">
        <w:t xml:space="preserve"> </w:t>
      </w:r>
      <w:r w:rsidR="004D5D0E">
        <w:t>equity investors</w:t>
      </w:r>
      <w:r w:rsidR="0073291F">
        <w:t xml:space="preserve"> </w:t>
      </w:r>
      <w:r w:rsidR="0004020C">
        <w:t>readily accept</w:t>
      </w:r>
      <w:r w:rsidR="000E579E">
        <w:t xml:space="preserve"> </w:t>
      </w:r>
      <w:r w:rsidR="0073291F">
        <w:t xml:space="preserve">in </w:t>
      </w:r>
      <w:r w:rsidR="00A26198">
        <w:t>exchange for</w:t>
      </w:r>
      <w:r w:rsidR="0073291F">
        <w:t xml:space="preserve"> </w:t>
      </w:r>
      <w:r w:rsidR="00745665">
        <w:t xml:space="preserve">higher </w:t>
      </w:r>
      <w:r w:rsidR="005B12E9">
        <w:t xml:space="preserve">expected </w:t>
      </w:r>
      <w:r w:rsidR="00807088">
        <w:t>returns</w:t>
      </w:r>
      <w:r w:rsidR="00745665">
        <w:t xml:space="preserve">.  </w:t>
      </w:r>
      <w:r w:rsidR="005C7B13">
        <w:t xml:space="preserve">If </w:t>
      </w:r>
      <w:r w:rsidR="00AC700F">
        <w:t>IOUs</w:t>
      </w:r>
      <w:r w:rsidR="005C7B13">
        <w:t xml:space="preserve"> are allowed to include their equity inflated </w:t>
      </w:r>
      <w:r w:rsidR="00662E6A">
        <w:t>weighted cost of capital (</w:t>
      </w:r>
      <w:r w:rsidR="005C7B13">
        <w:t>WCC</w:t>
      </w:r>
      <w:r w:rsidR="00662E6A">
        <w:t>)</w:t>
      </w:r>
      <w:r w:rsidR="000B41A9">
        <w:t xml:space="preserve"> in ASC development</w:t>
      </w:r>
      <w:r w:rsidR="005F7FB5">
        <w:t>,</w:t>
      </w:r>
      <w:r w:rsidR="000B41A9">
        <w:t xml:space="preserve"> </w:t>
      </w:r>
      <w:r w:rsidR="005F7FB5">
        <w:t xml:space="preserve">then </w:t>
      </w:r>
      <w:r w:rsidR="00156BD2">
        <w:t xml:space="preserve">regulatory orders </w:t>
      </w:r>
      <w:r w:rsidR="004262D5">
        <w:t>providing</w:t>
      </w:r>
      <w:r w:rsidR="00922E66">
        <w:t xml:space="preserve"> the counterbalance </w:t>
      </w:r>
      <w:proofErr w:type="gramStart"/>
      <w:r w:rsidR="00922E66">
        <w:t>actually experienced</w:t>
      </w:r>
      <w:proofErr w:type="gramEnd"/>
      <w:r w:rsidR="00922E66">
        <w:t xml:space="preserve"> </w:t>
      </w:r>
      <w:r w:rsidR="00F56FDC">
        <w:t>by</w:t>
      </w:r>
      <w:r w:rsidR="002E7535">
        <w:t xml:space="preserve"> IOU</w:t>
      </w:r>
      <w:r w:rsidR="00F56FDC">
        <w:t xml:space="preserve"> ratepayers </w:t>
      </w:r>
      <w:r w:rsidR="003128AC">
        <w:t xml:space="preserve">should </w:t>
      </w:r>
      <w:r w:rsidR="001F22B0">
        <w:t xml:space="preserve">likewise </w:t>
      </w:r>
      <w:r w:rsidR="003128AC">
        <w:t xml:space="preserve">be </w:t>
      </w:r>
      <w:r w:rsidR="001E1E1F">
        <w:t xml:space="preserve">fully </w:t>
      </w:r>
      <w:r w:rsidR="009F38E9">
        <w:t>incorporated.</w:t>
      </w:r>
      <w:r w:rsidR="000E72FD">
        <w:t xml:space="preserve">  </w:t>
      </w:r>
    </w:p>
    <w:p w14:paraId="10878870" w14:textId="77777777" w:rsidR="00CC5290" w:rsidRDefault="00CC5290" w:rsidP="0026655F">
      <w:pPr>
        <w:spacing w:after="0"/>
      </w:pPr>
    </w:p>
    <w:p w14:paraId="070EF6B1" w14:textId="37EFE090" w:rsidR="00323740" w:rsidRDefault="00276945" w:rsidP="0026655F">
      <w:pPr>
        <w:spacing w:after="0"/>
      </w:pPr>
      <w:r>
        <w:lastRenderedPageBreak/>
        <w:t>Moreover</w:t>
      </w:r>
      <w:r w:rsidR="005A7332">
        <w:t>,</w:t>
      </w:r>
      <w:r w:rsidR="001B38B1">
        <w:t xml:space="preserve"> </w:t>
      </w:r>
      <w:r w:rsidR="00F566D0">
        <w:t xml:space="preserve">the COU’s believe that </w:t>
      </w:r>
      <w:r w:rsidR="001B38B1">
        <w:t xml:space="preserve">BPA’s proposed escalation codes </w:t>
      </w:r>
      <w:r w:rsidR="000E1BBC">
        <w:t>gross up IOU</w:t>
      </w:r>
      <w:r w:rsidR="005A7332">
        <w:t>’s</w:t>
      </w:r>
      <w:r w:rsidR="000E1BBC">
        <w:t xml:space="preserve"> ASCs</w:t>
      </w:r>
      <w:r w:rsidR="006F5472">
        <w:t xml:space="preserve">, on a forecast basis, </w:t>
      </w:r>
      <w:r w:rsidR="00DE3E2A">
        <w:t>similarly</w:t>
      </w:r>
      <w:r w:rsidR="000E1BBC">
        <w:t xml:space="preserve"> </w:t>
      </w:r>
      <w:r w:rsidR="00DE3E2A">
        <w:t>to</w:t>
      </w:r>
      <w:r w:rsidR="00766DF5">
        <w:t xml:space="preserve"> the</w:t>
      </w:r>
      <w:r w:rsidR="000E1BBC">
        <w:t xml:space="preserve"> </w:t>
      </w:r>
      <w:r w:rsidR="00C64D33">
        <w:t>‘</w:t>
      </w:r>
      <w:r w:rsidR="004037F9">
        <w:t>p</w:t>
      </w:r>
      <w:r w:rsidR="000E1BBC" w:rsidRPr="00C64D33">
        <w:t xml:space="preserve">ro </w:t>
      </w:r>
      <w:r w:rsidR="004037F9">
        <w:t>f</w:t>
      </w:r>
      <w:r w:rsidR="000E1BBC" w:rsidRPr="00C64D33">
        <w:t>orma</w:t>
      </w:r>
      <w:r w:rsidR="00C64D33">
        <w:t>’</w:t>
      </w:r>
      <w:r w:rsidR="000E1BBC">
        <w:t xml:space="preserve"> adjustments </w:t>
      </w:r>
      <w:r w:rsidR="002C19CB">
        <w:t xml:space="preserve">that are </w:t>
      </w:r>
      <w:r w:rsidR="00E827EF">
        <w:t>frequently</w:t>
      </w:r>
      <w:r w:rsidR="002C19CB">
        <w:t xml:space="preserve"> </w:t>
      </w:r>
      <w:r w:rsidR="00F94E8E">
        <w:t xml:space="preserve">ordered by </w:t>
      </w:r>
      <w:r w:rsidR="00C548BA">
        <w:t xml:space="preserve">regulatory </w:t>
      </w:r>
      <w:r w:rsidR="00F94E8E">
        <w:t xml:space="preserve">commissions.  </w:t>
      </w:r>
      <w:r w:rsidR="007A428A">
        <w:t>If disallowed costs</w:t>
      </w:r>
      <w:r w:rsidR="00615137">
        <w:t xml:space="preserve"> –</w:t>
      </w:r>
      <w:r w:rsidR="003A1A70">
        <w:t xml:space="preserve"> the primary downward adjustment</w:t>
      </w:r>
      <w:r w:rsidR="00615137">
        <w:t xml:space="preserve"> – </w:t>
      </w:r>
      <w:r w:rsidR="007A428A">
        <w:t xml:space="preserve">are </w:t>
      </w:r>
      <w:r w:rsidR="00D845B2">
        <w:t xml:space="preserve">not identified and </w:t>
      </w:r>
      <w:r w:rsidR="002C19CB">
        <w:t>excluded</w:t>
      </w:r>
      <w:r w:rsidR="00746590">
        <w:t xml:space="preserve"> in developing </w:t>
      </w:r>
      <w:r w:rsidR="0039777B">
        <w:t>ASCs</w:t>
      </w:r>
      <w:r w:rsidR="002C19CB">
        <w:t>,</w:t>
      </w:r>
      <w:r w:rsidR="00D845B2">
        <w:t xml:space="preserve"> then the analysis will </w:t>
      </w:r>
      <w:r w:rsidR="007801F1">
        <w:t xml:space="preserve">only capture the upward adjustments </w:t>
      </w:r>
      <w:r w:rsidR="00CA4396">
        <w:t>omitting</w:t>
      </w:r>
      <w:r w:rsidR="005B7632">
        <w:t xml:space="preserve"> </w:t>
      </w:r>
      <w:r w:rsidR="002C4BB5">
        <w:t xml:space="preserve">the actions regulators </w:t>
      </w:r>
      <w:r w:rsidR="00B15B3A">
        <w:t>take</w:t>
      </w:r>
      <w:r w:rsidR="00AD66AE">
        <w:t xml:space="preserve"> to </w:t>
      </w:r>
      <w:r w:rsidR="006C0A33">
        <w:t>protect ratepayers</w:t>
      </w:r>
      <w:r w:rsidR="00B15B3A">
        <w:t>.</w:t>
      </w:r>
    </w:p>
    <w:p w14:paraId="2ACF83BF" w14:textId="77777777" w:rsidR="00472A3C" w:rsidRDefault="00472A3C" w:rsidP="0026655F">
      <w:pPr>
        <w:spacing w:after="0"/>
      </w:pPr>
    </w:p>
    <w:p w14:paraId="4B8C34C3" w14:textId="0D4D5417" w:rsidR="00737957" w:rsidRDefault="0087704B" w:rsidP="0026655F">
      <w:pPr>
        <w:spacing w:after="0"/>
      </w:pPr>
      <w:r>
        <w:t xml:space="preserve">The COU’s </w:t>
      </w:r>
      <w:r w:rsidR="00BC008A">
        <w:t>appreciate your consideration of these comments.</w:t>
      </w:r>
    </w:p>
    <w:p w14:paraId="30F53B8C" w14:textId="77777777" w:rsidR="002F67A3" w:rsidRDefault="002F67A3" w:rsidP="0026655F">
      <w:pPr>
        <w:spacing w:after="0"/>
      </w:pPr>
    </w:p>
    <w:p w14:paraId="111CA44B" w14:textId="2045C8E1" w:rsidR="001650B2" w:rsidRDefault="001650B2" w:rsidP="0026655F">
      <w:pPr>
        <w:spacing w:after="0"/>
      </w:pPr>
    </w:p>
    <w:sectPr w:rsidR="00165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0695C86F" w14:textId="77777777" w:rsidR="00AC54AF" w:rsidRDefault="003420FA" w:rsidP="00AC54AF">
      <w:pPr>
        <w:pStyle w:val="CommentText"/>
      </w:pPr>
      <w:r>
        <w:rPr>
          <w:rStyle w:val="CommentReference"/>
        </w:rPr>
        <w:annotationRef/>
      </w:r>
      <w:r w:rsidR="00AC54AF">
        <w:t xml:space="preserve">Thank you for you comment.  BPA will consider public notice announcements for ASC Review Processes.  Any party interested in participating in an ASC Review Process will be required to submit a formal request.  See section 3 in the ASC Rules of Procedure.  </w:t>
      </w:r>
    </w:p>
  </w:comment>
  <w:comment w:id="1" w:author="Author" w:initials="A">
    <w:p w14:paraId="651C12EA" w14:textId="77777777" w:rsidR="00AC54AF" w:rsidRDefault="003420FA" w:rsidP="00AC54AF">
      <w:pPr>
        <w:pStyle w:val="CommentText"/>
      </w:pPr>
      <w:r>
        <w:rPr>
          <w:rStyle w:val="CommentReference"/>
        </w:rPr>
        <w:annotationRef/>
      </w:r>
      <w:r w:rsidR="00AC54AF">
        <w:t>Thank you for your comment.  BPA Staff views the variance analysis as a tool for identifying accounts for further analysis, not for normalization.</w:t>
      </w:r>
    </w:p>
  </w:comment>
  <w:comment w:id="2" w:author="Author" w:initials="A">
    <w:p w14:paraId="107408B6" w14:textId="77777777" w:rsidR="00E47A61" w:rsidRDefault="00D9526D" w:rsidP="00E47A61">
      <w:pPr>
        <w:pStyle w:val="CommentText"/>
      </w:pPr>
      <w:r>
        <w:rPr>
          <w:rStyle w:val="CommentReference"/>
        </w:rPr>
        <w:annotationRef/>
      </w:r>
      <w:r w:rsidR="00E47A61">
        <w:t>Thank you for your comment.  BPA Staff is not inclined to accept this proposal.  In effect, to implement this proposal would require a return to a jurisdictional approach.  BPA Staff believe the current FERC Form 1 approach creates a standardized method for collecting data that efficiently and accurately calculates a Utility’s ASC.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95C86F" w15:done="0"/>
  <w15:commentEx w15:paraId="651C12EA" w15:done="0"/>
  <w15:commentEx w15:paraId="107408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95C86F" w16cid:durableId="754B8812"/>
  <w16cid:commentId w16cid:paraId="651C12EA" w16cid:durableId="383D8004"/>
  <w16cid:commentId w16cid:paraId="107408B6" w16cid:durableId="46CAD5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9870" w14:textId="77777777" w:rsidR="00016657" w:rsidRDefault="00016657" w:rsidP="00FD6339">
      <w:pPr>
        <w:spacing w:after="0" w:line="240" w:lineRule="auto"/>
      </w:pPr>
      <w:r>
        <w:separator/>
      </w:r>
    </w:p>
  </w:endnote>
  <w:endnote w:type="continuationSeparator" w:id="0">
    <w:p w14:paraId="2F709BE3" w14:textId="77777777" w:rsidR="00016657" w:rsidRDefault="00016657" w:rsidP="00FD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D9CD" w14:textId="77777777" w:rsidR="00016657" w:rsidRDefault="00016657" w:rsidP="00FD6339">
      <w:pPr>
        <w:spacing w:after="0" w:line="240" w:lineRule="auto"/>
      </w:pPr>
      <w:r>
        <w:separator/>
      </w:r>
    </w:p>
  </w:footnote>
  <w:footnote w:type="continuationSeparator" w:id="0">
    <w:p w14:paraId="6B3C9C52" w14:textId="77777777" w:rsidR="00016657" w:rsidRDefault="00016657" w:rsidP="00FD6339">
      <w:pPr>
        <w:spacing w:after="0" w:line="240" w:lineRule="auto"/>
      </w:pPr>
      <w:r>
        <w:continuationSeparator/>
      </w:r>
    </w:p>
  </w:footnote>
  <w:footnote w:id="1">
    <w:p w14:paraId="051C80D8" w14:textId="4E5A0661" w:rsidR="0035210D" w:rsidRDefault="003521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4A2F">
        <w:t>Consistent with the requirements of</w:t>
      </w:r>
      <w:r>
        <w:t xml:space="preserve"> </w:t>
      </w:r>
      <w:hyperlink r:id="rId1" w:history="1">
        <w:r w:rsidRPr="00FB0976">
          <w:rPr>
            <w:rStyle w:val="Hyperlink"/>
          </w:rPr>
          <w:t>WAC 480-100-257</w:t>
        </w:r>
      </w:hyperlink>
      <w:r>
        <w:t xml:space="preserve"> and </w:t>
      </w:r>
      <w:hyperlink r:id="rId2" w:history="1">
        <w:r w:rsidR="005E4A2F" w:rsidRPr="001C1D2E">
          <w:rPr>
            <w:rStyle w:val="Hyperlink"/>
          </w:rPr>
          <w:t>WAC 480-07-510</w:t>
        </w:r>
      </w:hyperlink>
      <w:r w:rsidR="005E4A2F">
        <w:t xml:space="preserve"> </w:t>
      </w:r>
      <w:r w:rsidR="00207332">
        <w:t>for WUTC regulated utilities</w:t>
      </w:r>
      <w:r w:rsidR="003D5CFE">
        <w:t xml:space="preserve"> </w:t>
      </w:r>
      <w:r w:rsidR="006A746A">
        <w:t xml:space="preserve">or </w:t>
      </w:r>
      <w:r w:rsidR="00FF23D7">
        <w:t>analogous</w:t>
      </w:r>
      <w:r w:rsidR="006A746A">
        <w:t xml:space="preserve"> requirements </w:t>
      </w:r>
      <w:r w:rsidR="00B50404">
        <w:t>in other regulatory jurisdictions</w:t>
      </w:r>
      <w:r w:rsidR="005E4A2F">
        <w:t>.</w:t>
      </w:r>
    </w:p>
  </w:footnote>
  <w:footnote w:id="2">
    <w:p w14:paraId="69EA7DC6" w14:textId="1D0B07A7" w:rsidR="00F54D5C" w:rsidRDefault="00F54D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E1541">
        <w:t>House Report (Interior) at 35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A5"/>
    <w:rsid w:val="00005343"/>
    <w:rsid w:val="00016657"/>
    <w:rsid w:val="00017BE0"/>
    <w:rsid w:val="000243EA"/>
    <w:rsid w:val="000323A9"/>
    <w:rsid w:val="0004020C"/>
    <w:rsid w:val="000411FE"/>
    <w:rsid w:val="00046073"/>
    <w:rsid w:val="00052090"/>
    <w:rsid w:val="00064058"/>
    <w:rsid w:val="00066C93"/>
    <w:rsid w:val="00071EB5"/>
    <w:rsid w:val="00084103"/>
    <w:rsid w:val="0008441F"/>
    <w:rsid w:val="00090507"/>
    <w:rsid w:val="00095C2B"/>
    <w:rsid w:val="0009698D"/>
    <w:rsid w:val="000A3C2D"/>
    <w:rsid w:val="000B3245"/>
    <w:rsid w:val="000B41A9"/>
    <w:rsid w:val="000B74C2"/>
    <w:rsid w:val="000C1895"/>
    <w:rsid w:val="000C6FFB"/>
    <w:rsid w:val="000D0C7F"/>
    <w:rsid w:val="000D69C1"/>
    <w:rsid w:val="000E1BBC"/>
    <w:rsid w:val="000E272B"/>
    <w:rsid w:val="000E37AA"/>
    <w:rsid w:val="000E579E"/>
    <w:rsid w:val="000E72FD"/>
    <w:rsid w:val="000F583E"/>
    <w:rsid w:val="0010028F"/>
    <w:rsid w:val="0010452F"/>
    <w:rsid w:val="00110F22"/>
    <w:rsid w:val="00112F11"/>
    <w:rsid w:val="00115D36"/>
    <w:rsid w:val="001254BF"/>
    <w:rsid w:val="00130CFB"/>
    <w:rsid w:val="001349A2"/>
    <w:rsid w:val="001374A9"/>
    <w:rsid w:val="001457F7"/>
    <w:rsid w:val="00156BD2"/>
    <w:rsid w:val="00157A1B"/>
    <w:rsid w:val="00164FED"/>
    <w:rsid w:val="001650B2"/>
    <w:rsid w:val="00175CC6"/>
    <w:rsid w:val="00184A10"/>
    <w:rsid w:val="00186510"/>
    <w:rsid w:val="001865B6"/>
    <w:rsid w:val="00187B77"/>
    <w:rsid w:val="00187E3A"/>
    <w:rsid w:val="00191D4F"/>
    <w:rsid w:val="00192FF5"/>
    <w:rsid w:val="00195135"/>
    <w:rsid w:val="001973F1"/>
    <w:rsid w:val="001A14E4"/>
    <w:rsid w:val="001A16C4"/>
    <w:rsid w:val="001A5A0D"/>
    <w:rsid w:val="001B2CD2"/>
    <w:rsid w:val="001B3681"/>
    <w:rsid w:val="001B38B1"/>
    <w:rsid w:val="001B6315"/>
    <w:rsid w:val="001C1AB0"/>
    <w:rsid w:val="001C1D2E"/>
    <w:rsid w:val="001C2FE8"/>
    <w:rsid w:val="001C765A"/>
    <w:rsid w:val="001D188D"/>
    <w:rsid w:val="001D650B"/>
    <w:rsid w:val="001E1E1F"/>
    <w:rsid w:val="001E1EE9"/>
    <w:rsid w:val="001E6FF9"/>
    <w:rsid w:val="001F22B0"/>
    <w:rsid w:val="001F2360"/>
    <w:rsid w:val="00201DB6"/>
    <w:rsid w:val="00202D4A"/>
    <w:rsid w:val="00207332"/>
    <w:rsid w:val="00216C70"/>
    <w:rsid w:val="00217F19"/>
    <w:rsid w:val="002271AA"/>
    <w:rsid w:val="00247D64"/>
    <w:rsid w:val="00250B3E"/>
    <w:rsid w:val="0025328A"/>
    <w:rsid w:val="002549D3"/>
    <w:rsid w:val="0025520D"/>
    <w:rsid w:val="002634AE"/>
    <w:rsid w:val="0026655F"/>
    <w:rsid w:val="00266678"/>
    <w:rsid w:val="0027025A"/>
    <w:rsid w:val="002739AE"/>
    <w:rsid w:val="00276945"/>
    <w:rsid w:val="0027699C"/>
    <w:rsid w:val="00276C3B"/>
    <w:rsid w:val="002772FC"/>
    <w:rsid w:val="00277F25"/>
    <w:rsid w:val="00286F66"/>
    <w:rsid w:val="002937B1"/>
    <w:rsid w:val="002A50FC"/>
    <w:rsid w:val="002A7D22"/>
    <w:rsid w:val="002B5954"/>
    <w:rsid w:val="002C19CB"/>
    <w:rsid w:val="002C2582"/>
    <w:rsid w:val="002C4BB5"/>
    <w:rsid w:val="002D17AE"/>
    <w:rsid w:val="002E7535"/>
    <w:rsid w:val="002F05E5"/>
    <w:rsid w:val="002F4DB2"/>
    <w:rsid w:val="002F67A3"/>
    <w:rsid w:val="003076AC"/>
    <w:rsid w:val="003128AC"/>
    <w:rsid w:val="00313F21"/>
    <w:rsid w:val="0032162B"/>
    <w:rsid w:val="00322F07"/>
    <w:rsid w:val="00323740"/>
    <w:rsid w:val="003278E8"/>
    <w:rsid w:val="00332EA7"/>
    <w:rsid w:val="003362D7"/>
    <w:rsid w:val="003379B5"/>
    <w:rsid w:val="003420FA"/>
    <w:rsid w:val="0034480B"/>
    <w:rsid w:val="0035210D"/>
    <w:rsid w:val="00352B54"/>
    <w:rsid w:val="00353E79"/>
    <w:rsid w:val="0035729A"/>
    <w:rsid w:val="0036081B"/>
    <w:rsid w:val="00363BF4"/>
    <w:rsid w:val="00364329"/>
    <w:rsid w:val="00365413"/>
    <w:rsid w:val="003658FF"/>
    <w:rsid w:val="00370553"/>
    <w:rsid w:val="00372D40"/>
    <w:rsid w:val="00381DB5"/>
    <w:rsid w:val="003847D1"/>
    <w:rsid w:val="00394BF4"/>
    <w:rsid w:val="00395193"/>
    <w:rsid w:val="0039777B"/>
    <w:rsid w:val="003A1A70"/>
    <w:rsid w:val="003A304D"/>
    <w:rsid w:val="003B1DE5"/>
    <w:rsid w:val="003B2192"/>
    <w:rsid w:val="003B63B5"/>
    <w:rsid w:val="003C1A6D"/>
    <w:rsid w:val="003C2894"/>
    <w:rsid w:val="003C49F5"/>
    <w:rsid w:val="003C7F6A"/>
    <w:rsid w:val="003D0773"/>
    <w:rsid w:val="003D2612"/>
    <w:rsid w:val="003D3F22"/>
    <w:rsid w:val="003D5CFE"/>
    <w:rsid w:val="003D6BF5"/>
    <w:rsid w:val="003E1541"/>
    <w:rsid w:val="003F2E65"/>
    <w:rsid w:val="003F3B35"/>
    <w:rsid w:val="003F6B2F"/>
    <w:rsid w:val="00400756"/>
    <w:rsid w:val="00401DF2"/>
    <w:rsid w:val="004037F9"/>
    <w:rsid w:val="004124C1"/>
    <w:rsid w:val="00413992"/>
    <w:rsid w:val="00413DB7"/>
    <w:rsid w:val="00415B17"/>
    <w:rsid w:val="00420CD0"/>
    <w:rsid w:val="00420E90"/>
    <w:rsid w:val="004250FA"/>
    <w:rsid w:val="004262D5"/>
    <w:rsid w:val="004279F6"/>
    <w:rsid w:val="00437677"/>
    <w:rsid w:val="004445CB"/>
    <w:rsid w:val="0044652B"/>
    <w:rsid w:val="00447263"/>
    <w:rsid w:val="004650D5"/>
    <w:rsid w:val="004651C8"/>
    <w:rsid w:val="0046563D"/>
    <w:rsid w:val="0046635D"/>
    <w:rsid w:val="00467C0E"/>
    <w:rsid w:val="00472A3C"/>
    <w:rsid w:val="00475668"/>
    <w:rsid w:val="00484964"/>
    <w:rsid w:val="00492199"/>
    <w:rsid w:val="00492219"/>
    <w:rsid w:val="00493541"/>
    <w:rsid w:val="004A484A"/>
    <w:rsid w:val="004A708D"/>
    <w:rsid w:val="004B258C"/>
    <w:rsid w:val="004C075E"/>
    <w:rsid w:val="004C5FB4"/>
    <w:rsid w:val="004D5D0E"/>
    <w:rsid w:val="004D5DB4"/>
    <w:rsid w:val="004D7986"/>
    <w:rsid w:val="004E5A16"/>
    <w:rsid w:val="004F2E6F"/>
    <w:rsid w:val="004F3885"/>
    <w:rsid w:val="004F7BAD"/>
    <w:rsid w:val="0050379F"/>
    <w:rsid w:val="005072DE"/>
    <w:rsid w:val="00511FFC"/>
    <w:rsid w:val="00512664"/>
    <w:rsid w:val="005257F6"/>
    <w:rsid w:val="00526293"/>
    <w:rsid w:val="00527E3E"/>
    <w:rsid w:val="005327C9"/>
    <w:rsid w:val="00543971"/>
    <w:rsid w:val="00545C80"/>
    <w:rsid w:val="00554113"/>
    <w:rsid w:val="00554DB7"/>
    <w:rsid w:val="00576A83"/>
    <w:rsid w:val="00580B4F"/>
    <w:rsid w:val="00583F4A"/>
    <w:rsid w:val="00586A4F"/>
    <w:rsid w:val="00590D01"/>
    <w:rsid w:val="005A105E"/>
    <w:rsid w:val="005A3D62"/>
    <w:rsid w:val="005A40C2"/>
    <w:rsid w:val="005A479A"/>
    <w:rsid w:val="005A681E"/>
    <w:rsid w:val="005A7332"/>
    <w:rsid w:val="005B12E9"/>
    <w:rsid w:val="005B1D58"/>
    <w:rsid w:val="005B3EBD"/>
    <w:rsid w:val="005B7632"/>
    <w:rsid w:val="005B7AEB"/>
    <w:rsid w:val="005C0256"/>
    <w:rsid w:val="005C4574"/>
    <w:rsid w:val="005C78D5"/>
    <w:rsid w:val="005C7A99"/>
    <w:rsid w:val="005C7B13"/>
    <w:rsid w:val="005D766E"/>
    <w:rsid w:val="005E4A2F"/>
    <w:rsid w:val="005F7A48"/>
    <w:rsid w:val="005F7FB5"/>
    <w:rsid w:val="00600939"/>
    <w:rsid w:val="00606743"/>
    <w:rsid w:val="00614A6F"/>
    <w:rsid w:val="00615137"/>
    <w:rsid w:val="006220D8"/>
    <w:rsid w:val="0062272E"/>
    <w:rsid w:val="00630403"/>
    <w:rsid w:val="00631B9C"/>
    <w:rsid w:val="00631F73"/>
    <w:rsid w:val="006422F4"/>
    <w:rsid w:val="00662E6A"/>
    <w:rsid w:val="0066330C"/>
    <w:rsid w:val="006678A8"/>
    <w:rsid w:val="0068648B"/>
    <w:rsid w:val="006919E3"/>
    <w:rsid w:val="006A16E0"/>
    <w:rsid w:val="006A746A"/>
    <w:rsid w:val="006B66C8"/>
    <w:rsid w:val="006C0007"/>
    <w:rsid w:val="006C0A33"/>
    <w:rsid w:val="006C10B2"/>
    <w:rsid w:val="006D17D0"/>
    <w:rsid w:val="006D1892"/>
    <w:rsid w:val="006D446C"/>
    <w:rsid w:val="006E2581"/>
    <w:rsid w:val="006F5472"/>
    <w:rsid w:val="006F7338"/>
    <w:rsid w:val="0070193A"/>
    <w:rsid w:val="00703231"/>
    <w:rsid w:val="00704D78"/>
    <w:rsid w:val="00706DC5"/>
    <w:rsid w:val="00715B88"/>
    <w:rsid w:val="007219C1"/>
    <w:rsid w:val="00724532"/>
    <w:rsid w:val="0073291F"/>
    <w:rsid w:val="0073618D"/>
    <w:rsid w:val="007362C1"/>
    <w:rsid w:val="00737957"/>
    <w:rsid w:val="00744703"/>
    <w:rsid w:val="00745665"/>
    <w:rsid w:val="00746590"/>
    <w:rsid w:val="00764AD6"/>
    <w:rsid w:val="00766DF5"/>
    <w:rsid w:val="007716CE"/>
    <w:rsid w:val="00773DE2"/>
    <w:rsid w:val="0077529E"/>
    <w:rsid w:val="007801F1"/>
    <w:rsid w:val="00782EB5"/>
    <w:rsid w:val="00783D69"/>
    <w:rsid w:val="00784470"/>
    <w:rsid w:val="007849E8"/>
    <w:rsid w:val="007909D3"/>
    <w:rsid w:val="00795A15"/>
    <w:rsid w:val="00795F35"/>
    <w:rsid w:val="007A0786"/>
    <w:rsid w:val="007A428A"/>
    <w:rsid w:val="007A54E5"/>
    <w:rsid w:val="007B353B"/>
    <w:rsid w:val="007B4320"/>
    <w:rsid w:val="007B7CCD"/>
    <w:rsid w:val="007C1215"/>
    <w:rsid w:val="007C31E6"/>
    <w:rsid w:val="007E7633"/>
    <w:rsid w:val="007F1ACD"/>
    <w:rsid w:val="00800F33"/>
    <w:rsid w:val="0080236E"/>
    <w:rsid w:val="00807088"/>
    <w:rsid w:val="0080799E"/>
    <w:rsid w:val="00822B3A"/>
    <w:rsid w:val="00831E1F"/>
    <w:rsid w:val="008429B8"/>
    <w:rsid w:val="0084435D"/>
    <w:rsid w:val="0084527D"/>
    <w:rsid w:val="008542A7"/>
    <w:rsid w:val="0086758F"/>
    <w:rsid w:val="00873637"/>
    <w:rsid w:val="00873A3A"/>
    <w:rsid w:val="0087583E"/>
    <w:rsid w:val="0087704B"/>
    <w:rsid w:val="0089091F"/>
    <w:rsid w:val="00894620"/>
    <w:rsid w:val="008964C2"/>
    <w:rsid w:val="008A3616"/>
    <w:rsid w:val="008A4844"/>
    <w:rsid w:val="008A6060"/>
    <w:rsid w:val="008B1F29"/>
    <w:rsid w:val="008B3E37"/>
    <w:rsid w:val="008B7221"/>
    <w:rsid w:val="008C6CAC"/>
    <w:rsid w:val="008D00A1"/>
    <w:rsid w:val="008D0CFB"/>
    <w:rsid w:val="008D15AF"/>
    <w:rsid w:val="008D25D6"/>
    <w:rsid w:val="008D32EB"/>
    <w:rsid w:val="008E41EE"/>
    <w:rsid w:val="008E50C4"/>
    <w:rsid w:val="008F0082"/>
    <w:rsid w:val="008F4B43"/>
    <w:rsid w:val="008F618E"/>
    <w:rsid w:val="009037C0"/>
    <w:rsid w:val="00907892"/>
    <w:rsid w:val="0091524E"/>
    <w:rsid w:val="00916BF5"/>
    <w:rsid w:val="00922E66"/>
    <w:rsid w:val="009243D8"/>
    <w:rsid w:val="00944013"/>
    <w:rsid w:val="00966218"/>
    <w:rsid w:val="009750B5"/>
    <w:rsid w:val="009753CD"/>
    <w:rsid w:val="009878F8"/>
    <w:rsid w:val="00990C9C"/>
    <w:rsid w:val="0099371A"/>
    <w:rsid w:val="009969CA"/>
    <w:rsid w:val="009A0E17"/>
    <w:rsid w:val="009B339D"/>
    <w:rsid w:val="009B46E5"/>
    <w:rsid w:val="009B7032"/>
    <w:rsid w:val="009C234C"/>
    <w:rsid w:val="009D1ECD"/>
    <w:rsid w:val="009D1FCD"/>
    <w:rsid w:val="009E0F91"/>
    <w:rsid w:val="009F168F"/>
    <w:rsid w:val="009F2E47"/>
    <w:rsid w:val="009F31C2"/>
    <w:rsid w:val="009F38E9"/>
    <w:rsid w:val="00A028EC"/>
    <w:rsid w:val="00A10AFB"/>
    <w:rsid w:val="00A26198"/>
    <w:rsid w:val="00A3053C"/>
    <w:rsid w:val="00A3536E"/>
    <w:rsid w:val="00A36FDB"/>
    <w:rsid w:val="00A4525F"/>
    <w:rsid w:val="00A537AA"/>
    <w:rsid w:val="00A565AF"/>
    <w:rsid w:val="00A60817"/>
    <w:rsid w:val="00A64A94"/>
    <w:rsid w:val="00A73079"/>
    <w:rsid w:val="00A9217B"/>
    <w:rsid w:val="00A95BC3"/>
    <w:rsid w:val="00AA3253"/>
    <w:rsid w:val="00AA35BD"/>
    <w:rsid w:val="00AB5B9E"/>
    <w:rsid w:val="00AB74A0"/>
    <w:rsid w:val="00AC0303"/>
    <w:rsid w:val="00AC3D61"/>
    <w:rsid w:val="00AC54AF"/>
    <w:rsid w:val="00AC6695"/>
    <w:rsid w:val="00AC700F"/>
    <w:rsid w:val="00AC7863"/>
    <w:rsid w:val="00AD0628"/>
    <w:rsid w:val="00AD58E5"/>
    <w:rsid w:val="00AD66AE"/>
    <w:rsid w:val="00AE2EDD"/>
    <w:rsid w:val="00AE7516"/>
    <w:rsid w:val="00AF27CB"/>
    <w:rsid w:val="00AF7BEA"/>
    <w:rsid w:val="00B13093"/>
    <w:rsid w:val="00B15B3A"/>
    <w:rsid w:val="00B21C5B"/>
    <w:rsid w:val="00B22621"/>
    <w:rsid w:val="00B23F3E"/>
    <w:rsid w:val="00B240E2"/>
    <w:rsid w:val="00B26494"/>
    <w:rsid w:val="00B27AF4"/>
    <w:rsid w:val="00B3003A"/>
    <w:rsid w:val="00B304A7"/>
    <w:rsid w:val="00B32A9B"/>
    <w:rsid w:val="00B332C8"/>
    <w:rsid w:val="00B34351"/>
    <w:rsid w:val="00B403CF"/>
    <w:rsid w:val="00B4097E"/>
    <w:rsid w:val="00B42C0A"/>
    <w:rsid w:val="00B50404"/>
    <w:rsid w:val="00B50B88"/>
    <w:rsid w:val="00B5427C"/>
    <w:rsid w:val="00B54EE8"/>
    <w:rsid w:val="00B60A56"/>
    <w:rsid w:val="00B73B4E"/>
    <w:rsid w:val="00B75843"/>
    <w:rsid w:val="00B7651D"/>
    <w:rsid w:val="00B83040"/>
    <w:rsid w:val="00B835E7"/>
    <w:rsid w:val="00B879E1"/>
    <w:rsid w:val="00B95570"/>
    <w:rsid w:val="00B97098"/>
    <w:rsid w:val="00B973DF"/>
    <w:rsid w:val="00B97A07"/>
    <w:rsid w:val="00BA1653"/>
    <w:rsid w:val="00BA767E"/>
    <w:rsid w:val="00BB0961"/>
    <w:rsid w:val="00BB475D"/>
    <w:rsid w:val="00BC008A"/>
    <w:rsid w:val="00BC0275"/>
    <w:rsid w:val="00BC063F"/>
    <w:rsid w:val="00BC5FC5"/>
    <w:rsid w:val="00BC6D5D"/>
    <w:rsid w:val="00BD0724"/>
    <w:rsid w:val="00BD5E7B"/>
    <w:rsid w:val="00BE0FE8"/>
    <w:rsid w:val="00BE6A13"/>
    <w:rsid w:val="00C00DFC"/>
    <w:rsid w:val="00C03AFA"/>
    <w:rsid w:val="00C05C24"/>
    <w:rsid w:val="00C065F4"/>
    <w:rsid w:val="00C12CD4"/>
    <w:rsid w:val="00C1707B"/>
    <w:rsid w:val="00C22652"/>
    <w:rsid w:val="00C42184"/>
    <w:rsid w:val="00C438C6"/>
    <w:rsid w:val="00C548BA"/>
    <w:rsid w:val="00C57FFA"/>
    <w:rsid w:val="00C64D33"/>
    <w:rsid w:val="00C66B59"/>
    <w:rsid w:val="00C738EB"/>
    <w:rsid w:val="00C77418"/>
    <w:rsid w:val="00C801FC"/>
    <w:rsid w:val="00C8409C"/>
    <w:rsid w:val="00C8446F"/>
    <w:rsid w:val="00C85043"/>
    <w:rsid w:val="00C85C70"/>
    <w:rsid w:val="00C960AA"/>
    <w:rsid w:val="00CA4396"/>
    <w:rsid w:val="00CC0C80"/>
    <w:rsid w:val="00CC26C7"/>
    <w:rsid w:val="00CC5290"/>
    <w:rsid w:val="00CD3D2E"/>
    <w:rsid w:val="00CD46AA"/>
    <w:rsid w:val="00CD7A1E"/>
    <w:rsid w:val="00CE0D7C"/>
    <w:rsid w:val="00CE2CB9"/>
    <w:rsid w:val="00CE30B8"/>
    <w:rsid w:val="00D00B6A"/>
    <w:rsid w:val="00D12BC8"/>
    <w:rsid w:val="00D16F2B"/>
    <w:rsid w:val="00D22F09"/>
    <w:rsid w:val="00D2787F"/>
    <w:rsid w:val="00D3530D"/>
    <w:rsid w:val="00D3777D"/>
    <w:rsid w:val="00D43C43"/>
    <w:rsid w:val="00D47BD5"/>
    <w:rsid w:val="00D50DDD"/>
    <w:rsid w:val="00D56AF0"/>
    <w:rsid w:val="00D56F44"/>
    <w:rsid w:val="00D57955"/>
    <w:rsid w:val="00D63BE0"/>
    <w:rsid w:val="00D671E0"/>
    <w:rsid w:val="00D75104"/>
    <w:rsid w:val="00D845B2"/>
    <w:rsid w:val="00D9217B"/>
    <w:rsid w:val="00D9526D"/>
    <w:rsid w:val="00D97BB0"/>
    <w:rsid w:val="00DA635F"/>
    <w:rsid w:val="00DA6CC3"/>
    <w:rsid w:val="00DB3641"/>
    <w:rsid w:val="00DB3B2D"/>
    <w:rsid w:val="00DB4F07"/>
    <w:rsid w:val="00DD135E"/>
    <w:rsid w:val="00DE3E2A"/>
    <w:rsid w:val="00DE7D7F"/>
    <w:rsid w:val="00DF00FD"/>
    <w:rsid w:val="00DF1450"/>
    <w:rsid w:val="00DF5503"/>
    <w:rsid w:val="00E00FA5"/>
    <w:rsid w:val="00E13C0C"/>
    <w:rsid w:val="00E13F00"/>
    <w:rsid w:val="00E1763D"/>
    <w:rsid w:val="00E27576"/>
    <w:rsid w:val="00E317A9"/>
    <w:rsid w:val="00E37BAD"/>
    <w:rsid w:val="00E41AFB"/>
    <w:rsid w:val="00E4763E"/>
    <w:rsid w:val="00E47A61"/>
    <w:rsid w:val="00E57E65"/>
    <w:rsid w:val="00E6129D"/>
    <w:rsid w:val="00E627CC"/>
    <w:rsid w:val="00E62912"/>
    <w:rsid w:val="00E67C49"/>
    <w:rsid w:val="00E703F7"/>
    <w:rsid w:val="00E73562"/>
    <w:rsid w:val="00E80582"/>
    <w:rsid w:val="00E80873"/>
    <w:rsid w:val="00E827EF"/>
    <w:rsid w:val="00E85F53"/>
    <w:rsid w:val="00E92F8E"/>
    <w:rsid w:val="00EA78A3"/>
    <w:rsid w:val="00EB56ED"/>
    <w:rsid w:val="00EB7F24"/>
    <w:rsid w:val="00EC07DB"/>
    <w:rsid w:val="00EC4618"/>
    <w:rsid w:val="00ED24BF"/>
    <w:rsid w:val="00EE05A9"/>
    <w:rsid w:val="00EE08B1"/>
    <w:rsid w:val="00EE2BBE"/>
    <w:rsid w:val="00EE3AA4"/>
    <w:rsid w:val="00EE7447"/>
    <w:rsid w:val="00EF4AF7"/>
    <w:rsid w:val="00EF6029"/>
    <w:rsid w:val="00EF65B5"/>
    <w:rsid w:val="00EF6FC9"/>
    <w:rsid w:val="00EF75BB"/>
    <w:rsid w:val="00F12CA4"/>
    <w:rsid w:val="00F32530"/>
    <w:rsid w:val="00F32D2D"/>
    <w:rsid w:val="00F33378"/>
    <w:rsid w:val="00F46BED"/>
    <w:rsid w:val="00F54D5C"/>
    <w:rsid w:val="00F566D0"/>
    <w:rsid w:val="00F56FDC"/>
    <w:rsid w:val="00F626CC"/>
    <w:rsid w:val="00F8165F"/>
    <w:rsid w:val="00F914CF"/>
    <w:rsid w:val="00F94E8E"/>
    <w:rsid w:val="00F95531"/>
    <w:rsid w:val="00F96EA5"/>
    <w:rsid w:val="00F97586"/>
    <w:rsid w:val="00FA16FC"/>
    <w:rsid w:val="00FB0976"/>
    <w:rsid w:val="00FB1278"/>
    <w:rsid w:val="00FB3920"/>
    <w:rsid w:val="00FB4A4C"/>
    <w:rsid w:val="00FB4A55"/>
    <w:rsid w:val="00FB7603"/>
    <w:rsid w:val="00FB7ABC"/>
    <w:rsid w:val="00FC16EF"/>
    <w:rsid w:val="00FC609F"/>
    <w:rsid w:val="00FD6339"/>
    <w:rsid w:val="00FE2EBF"/>
    <w:rsid w:val="00FE50DF"/>
    <w:rsid w:val="00FF0EBB"/>
    <w:rsid w:val="00FF161D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AD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F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F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F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F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B7A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7C0E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67C0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0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F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F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F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F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F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F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FA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3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3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0C"/>
  </w:style>
  <w:style w:type="character" w:styleId="Hyperlink">
    <w:name w:val="Hyperlink"/>
    <w:basedOn w:val="DefaultParagraphFont"/>
    <w:uiPriority w:val="99"/>
    <w:unhideWhenUsed/>
    <w:rsid w:val="00FB0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9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20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2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2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2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pp.leg.wa.gov/WAC/default.aspx?cite=480-07-510" TargetMode="External"/><Relationship Id="rId1" Type="http://schemas.openxmlformats.org/officeDocument/2006/relationships/hyperlink" Target="https://app.leg.wa.gov/wac/default.aspx?cite=480-100-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E24FC16C59A4B9B2D927B94657A16" ma:contentTypeVersion="10" ma:contentTypeDescription="Create a new document." ma:contentTypeScope="" ma:versionID="6c3d5222f98e485cf4d69c77902daf13">
  <xsd:schema xmlns:xsd="http://www.w3.org/2001/XMLSchema" xmlns:xs="http://www.w3.org/2001/XMLSchema" xmlns:p="http://schemas.microsoft.com/office/2006/metadata/properties" xmlns:ns2="94d0a5ce-4b4c-4969-81bc-bcc4fc289eff" targetNamespace="http://schemas.microsoft.com/office/2006/metadata/properties" ma:root="true" ma:fieldsID="4bb3f15a41597416952a669f3b15107d" ns2:_="">
    <xsd:import namespace="94d0a5ce-4b4c-4969-81bc-bcc4fc289e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0a5ce-4b4c-4969-81bc-bcc4fc289e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C5C01-0C4D-498D-8C19-44366EDA3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083BD-0252-46D2-89AA-B947C2E84EDD}"/>
</file>

<file path=customXml/itemProps3.xml><?xml version="1.0" encoding="utf-8"?>
<ds:datastoreItem xmlns:ds="http://schemas.openxmlformats.org/officeDocument/2006/customXml" ds:itemID="{6B366E89-F7E0-479A-AD60-100CAB32F6A1}"/>
</file>

<file path=customXml/itemProps4.xml><?xml version="1.0" encoding="utf-8"?>
<ds:datastoreItem xmlns:ds="http://schemas.openxmlformats.org/officeDocument/2006/customXml" ds:itemID="{2FE54B3B-3EFA-4E93-A979-8E71E5F39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2025-12-10T02:40:00Z</dcterms:created>
  <dcterms:modified xsi:type="dcterms:W3CDTF">2025-12-10T02:40:00Z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0x010100BD6E24FC16C59A4B9B2D927B94657A16</vt:lpwstr>
  </property>
</Properties>
</file>