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F57F" w14:textId="77777777" w:rsidR="00F35467" w:rsidRPr="00E95100" w:rsidRDefault="00F35467" w:rsidP="00F35467">
      <w:pPr>
        <w:keepNext/>
        <w:rPr>
          <w:b/>
        </w:rPr>
      </w:pPr>
      <w:r w:rsidRPr="00E95100">
        <w:rPr>
          <w:b/>
        </w:rPr>
        <w:t>1.</w:t>
      </w:r>
      <w:r w:rsidRPr="00E95100">
        <w:rPr>
          <w:b/>
        </w:rPr>
        <w:tab/>
        <w:t>TERM</w:t>
      </w:r>
    </w:p>
    <w:p w14:paraId="2F0EEE97" w14:textId="77777777" w:rsidR="00F35467" w:rsidRDefault="00F35467" w:rsidP="00F35467">
      <w:pPr>
        <w:pStyle w:val="BodyTextIndent3"/>
      </w:pPr>
    </w:p>
    <w:p w14:paraId="6AE3EE72" w14:textId="77777777" w:rsidR="00F35467" w:rsidRDefault="00F35467" w:rsidP="00F35467">
      <w:pPr>
        <w:pStyle w:val="BodyTextIndent3"/>
      </w:pPr>
      <w:r w:rsidRPr="00E95100">
        <w:t xml:space="preserve">This Agreement </w:t>
      </w:r>
      <w:r>
        <w:t>shall take</w:t>
      </w:r>
      <w:r w:rsidRPr="00E95100">
        <w:t xml:space="preserve"> effect on </w:t>
      </w:r>
      <w:r>
        <w:t>the latter of</w:t>
      </w:r>
    </w:p>
    <w:p w14:paraId="453F7237" w14:textId="77777777" w:rsidR="00F35467" w:rsidRDefault="00F35467" w:rsidP="00F35467">
      <w:pPr>
        <w:pStyle w:val="BodyTextIndent3"/>
      </w:pPr>
    </w:p>
    <w:p w14:paraId="2E0D89EA" w14:textId="77777777" w:rsidR="00F35467" w:rsidRDefault="00F35467" w:rsidP="00F35467">
      <w:pPr>
        <w:pStyle w:val="BodyTextIndent3"/>
        <w:numPr>
          <w:ilvl w:val="0"/>
          <w:numId w:val="1"/>
        </w:numPr>
        <w:ind w:left="1440" w:hanging="720"/>
      </w:pPr>
      <w:r>
        <w:t>the</w:t>
      </w:r>
      <w:r w:rsidRPr="00E95100">
        <w:t xml:space="preserve"> date signed by the Parties</w:t>
      </w:r>
      <w:r>
        <w:t xml:space="preserve">, or </w:t>
      </w:r>
    </w:p>
    <w:p w14:paraId="587098FE" w14:textId="77777777" w:rsidR="00F35467" w:rsidRDefault="00F35467" w:rsidP="00F35467">
      <w:pPr>
        <w:pStyle w:val="BodyTextIndent3"/>
      </w:pPr>
    </w:p>
    <w:p w14:paraId="72AA30F2" w14:textId="77777777" w:rsidR="00F35467" w:rsidRPr="00157D9A" w:rsidRDefault="00F35467" w:rsidP="00F35467">
      <w:pPr>
        <w:pStyle w:val="ListParagraph"/>
        <w:numPr>
          <w:ilvl w:val="0"/>
          <w:numId w:val="1"/>
        </w:numPr>
        <w:ind w:left="1440" w:hanging="720"/>
        <w:contextualSpacing w:val="0"/>
      </w:pPr>
      <w:r w:rsidRPr="000E2A5B">
        <w:rPr>
          <w:szCs w:val="22"/>
        </w:rPr>
        <w:t>if</w:t>
      </w:r>
      <w:r w:rsidRPr="000E2A5B" w:rsidDel="005B1EB9">
        <w:rPr>
          <w:szCs w:val="22"/>
        </w:rPr>
        <w:t xml:space="preserve"> applicable</w:t>
      </w:r>
      <w:r w:rsidRPr="000E2A5B">
        <w:rPr>
          <w:szCs w:val="22"/>
        </w:rPr>
        <w:t xml:space="preserve">, the effective date specified by the Federal Energy Regulatory Commission in its acceptance for filing of this Agreement, provided the Federal Energy Regulatory Commission has not conditioned acceptance upon any change or condition unacceptable to either Party.  </w:t>
      </w:r>
    </w:p>
    <w:p w14:paraId="0624AA9B" w14:textId="77777777" w:rsidR="00F35467" w:rsidRDefault="00F35467" w:rsidP="00F35467"/>
    <w:p w14:paraId="47B1A4FF" w14:textId="2177814C" w:rsidR="00F35467" w:rsidRPr="00E95100" w:rsidRDefault="00F35467" w:rsidP="00F35467">
      <w:pPr>
        <w:pStyle w:val="BodyTextIndent3"/>
      </w:pPr>
      <w:r>
        <w:t>This Agreement shall expire</w:t>
      </w:r>
      <w:r w:rsidRPr="00E95100">
        <w:t xml:space="preserve"> on </w:t>
      </w:r>
      <w:r w:rsidRPr="00351FE3">
        <w:t>September 30, 20</w:t>
      </w:r>
      <w:r w:rsidRPr="009869B6">
        <w:t>44</w:t>
      </w:r>
      <w:r>
        <w:t xml:space="preserve">, unless terminated earlier pursuant to </w:t>
      </w:r>
      <w:r w:rsidRPr="00351FE3">
        <w:t>section 1</w:t>
      </w:r>
      <w:r w:rsidR="00610156">
        <w:t>1</w:t>
      </w:r>
      <w:r w:rsidRPr="00351FE3">
        <w:t xml:space="preserve"> below</w:t>
      </w:r>
      <w:r w:rsidRPr="00E95100">
        <w:t xml:space="preserve">. </w:t>
      </w:r>
      <w:r>
        <w:t xml:space="preserve"> </w:t>
      </w:r>
      <w:r w:rsidRPr="00E014C8">
        <w:t>All obligations and liabilities accrued under this Agreement are preserved until satisfied.</w:t>
      </w:r>
    </w:p>
    <w:p w14:paraId="40E02C8B" w14:textId="7A09E503" w:rsidR="000152CB" w:rsidRDefault="000152CB">
      <w:pPr>
        <w:spacing w:after="160" w:line="278" w:lineRule="auto"/>
      </w:pPr>
      <w:r>
        <w:br w:type="page"/>
      </w:r>
    </w:p>
    <w:p w14:paraId="24E1806F" w14:textId="77777777" w:rsidR="000152CB" w:rsidRPr="00E95100" w:rsidRDefault="000152CB" w:rsidP="000152CB">
      <w:pPr>
        <w:keepNext/>
        <w:rPr>
          <w:b/>
          <w:szCs w:val="22"/>
        </w:rPr>
      </w:pPr>
      <w:r w:rsidRPr="00E95100">
        <w:rPr>
          <w:b/>
        </w:rPr>
        <w:lastRenderedPageBreak/>
        <w:t>3.</w:t>
      </w:r>
      <w:r w:rsidRPr="00E95100">
        <w:rPr>
          <w:b/>
        </w:rPr>
        <w:tab/>
        <w:t xml:space="preserve">APPLICABLE PF </w:t>
      </w:r>
      <w:r>
        <w:rPr>
          <w:b/>
        </w:rPr>
        <w:t xml:space="preserve">EXCHANGE </w:t>
      </w:r>
      <w:r w:rsidRPr="00E95100">
        <w:rPr>
          <w:b/>
        </w:rPr>
        <w:t>RATE</w:t>
      </w:r>
      <w:r w:rsidRPr="00E95100">
        <w:rPr>
          <w:b/>
          <w:szCs w:val="22"/>
        </w:rPr>
        <w:t xml:space="preserve"> </w:t>
      </w:r>
    </w:p>
    <w:p w14:paraId="7A08F75D" w14:textId="77777777" w:rsidR="000152CB" w:rsidRDefault="000152CB" w:rsidP="000152CB">
      <w:pPr>
        <w:pStyle w:val="BodyTextIndent3"/>
      </w:pPr>
    </w:p>
    <w:p w14:paraId="4506B135" w14:textId="77777777" w:rsidR="000152CB" w:rsidRDefault="000152CB" w:rsidP="000152CB">
      <w:pPr>
        <w:pStyle w:val="BodyTextIndent3"/>
      </w:pPr>
      <w:r w:rsidRPr="00E95100">
        <w:t xml:space="preserve">Purchases </w:t>
      </w:r>
      <w:r>
        <w:t xml:space="preserve">by </w:t>
      </w:r>
      <w:r w:rsidRPr="00E95100">
        <w:rPr>
          <w:color w:val="FF0000"/>
        </w:rPr>
        <w:t>«Customer Name»</w:t>
      </w:r>
      <w:r>
        <w:t xml:space="preserve"> </w:t>
      </w:r>
      <w:r w:rsidRPr="00E95100">
        <w:t xml:space="preserve">under this Agreement are </w:t>
      </w:r>
      <w:r>
        <w:t xml:space="preserve">pursuant </w:t>
      </w:r>
      <w:r w:rsidRPr="00E95100">
        <w:t xml:space="preserve">to the </w:t>
      </w:r>
      <w:r>
        <w:t xml:space="preserve">applicable </w:t>
      </w:r>
      <w:r w:rsidRPr="00E95100">
        <w:t>PF Exchange rate and applicable GRSPs, or their successors</w:t>
      </w:r>
      <w:r>
        <w:t>, established by BPA in a proceeding pursuant to Section 7(i) of the Northwest Power Act, or its successor.  Section 5 below</w:t>
      </w:r>
      <w:r w:rsidRPr="00E95100">
        <w:t xml:space="preserve"> establish</w:t>
      </w:r>
      <w:r>
        <w:t>es</w:t>
      </w:r>
      <w:r w:rsidRPr="00E95100">
        <w:t xml:space="preserve"> purchases subject to the </w:t>
      </w:r>
      <w:r>
        <w:t xml:space="preserve">applicable </w:t>
      </w:r>
      <w:r w:rsidRPr="00E95100">
        <w:t>PF Exchange rate schedule.</w:t>
      </w:r>
    </w:p>
    <w:p w14:paraId="68A3A6FD" w14:textId="4168153A" w:rsidR="000152CB" w:rsidRDefault="000152CB">
      <w:pPr>
        <w:spacing w:after="160" w:line="278" w:lineRule="auto"/>
      </w:pPr>
      <w:r>
        <w:br w:type="page"/>
      </w:r>
    </w:p>
    <w:p w14:paraId="0ED2A506" w14:textId="77777777" w:rsidR="000152CB" w:rsidRPr="00E95100" w:rsidRDefault="000152CB" w:rsidP="000152CB">
      <w:pPr>
        <w:keepNext/>
        <w:ind w:left="720" w:hanging="720"/>
      </w:pPr>
      <w:r w:rsidRPr="00E95100">
        <w:rPr>
          <w:b/>
        </w:rPr>
        <w:lastRenderedPageBreak/>
        <w:t>4.</w:t>
      </w:r>
      <w:r w:rsidRPr="00E95100">
        <w:rPr>
          <w:b/>
        </w:rPr>
        <w:tab/>
        <w:t xml:space="preserve">ESTABLISHMENT OF ASC TO ACTIVATE </w:t>
      </w:r>
      <w:r>
        <w:rPr>
          <w:b/>
        </w:rPr>
        <w:t>PURCHASE AND EXCHANGE SALES</w:t>
      </w:r>
    </w:p>
    <w:p w14:paraId="421186AF" w14:textId="77777777" w:rsidR="000152CB" w:rsidRDefault="000152CB" w:rsidP="000152CB">
      <w:pPr>
        <w:ind w:left="720"/>
        <w:rPr>
          <w:b/>
          <w:bCs/>
        </w:rPr>
      </w:pPr>
    </w:p>
    <w:p w14:paraId="3568C78F" w14:textId="77777777" w:rsidR="000152CB" w:rsidRPr="00351FE3" w:rsidRDefault="000152CB" w:rsidP="000152CB">
      <w:pPr>
        <w:keepNext/>
        <w:ind w:left="720"/>
        <w:rPr>
          <w:b/>
          <w:bCs/>
        </w:rPr>
      </w:pPr>
      <w:r w:rsidRPr="00203E0E">
        <w:t>4.1</w:t>
      </w:r>
      <w:r>
        <w:rPr>
          <w:b/>
          <w:bCs/>
        </w:rPr>
        <w:tab/>
      </w:r>
      <w:r w:rsidRPr="00351FE3">
        <w:rPr>
          <w:b/>
          <w:bCs/>
        </w:rPr>
        <w:t xml:space="preserve">Prerequisite </w:t>
      </w:r>
    </w:p>
    <w:p w14:paraId="0FBC8694" w14:textId="77777777" w:rsidR="000152CB" w:rsidRDefault="000152CB" w:rsidP="000152CB">
      <w:pPr>
        <w:ind w:left="1440"/>
      </w:pPr>
      <w:r>
        <w:t xml:space="preserve">As a prerequisite to activate the Purchase and Exchange Sales under section 5 of this Agreement, </w:t>
      </w:r>
      <w:r w:rsidRPr="00E95100">
        <w:rPr>
          <w:color w:val="FF0000"/>
        </w:rPr>
        <w:t>«Customer Name»</w:t>
      </w:r>
      <w:r w:rsidRPr="00E95100">
        <w:t xml:space="preserve"> </w:t>
      </w:r>
      <w:r>
        <w:t xml:space="preserve">must file an Informational Filing </w:t>
      </w:r>
      <w:r w:rsidRPr="00E95100">
        <w:t>Appendix 1</w:t>
      </w:r>
      <w:r>
        <w:t xml:space="preserve"> pursuant to the ASCM </w:t>
      </w:r>
      <w:r w:rsidRPr="00351FE3">
        <w:t xml:space="preserve">in the </w:t>
      </w:r>
      <w:r>
        <w:t xml:space="preserve">calendar </w:t>
      </w:r>
      <w:r w:rsidRPr="00351FE3">
        <w:t xml:space="preserve">year prior to the ASC Review Process for the </w:t>
      </w:r>
      <w:r>
        <w:t>Exchange</w:t>
      </w:r>
      <w:r w:rsidRPr="00351FE3">
        <w:t xml:space="preserve"> </w:t>
      </w:r>
      <w:r>
        <w:t>P</w:t>
      </w:r>
      <w:r w:rsidRPr="00351FE3">
        <w:t xml:space="preserve">eriod when the </w:t>
      </w:r>
      <w:r>
        <w:t>Purchase and E</w:t>
      </w:r>
      <w:r w:rsidRPr="00351FE3">
        <w:t xml:space="preserve">xchange </w:t>
      </w:r>
      <w:r>
        <w:t>S</w:t>
      </w:r>
      <w:r w:rsidRPr="00351FE3">
        <w:t>ale</w:t>
      </w:r>
      <w:r>
        <w:t>s</w:t>
      </w:r>
      <w:r w:rsidRPr="00351FE3">
        <w:t xml:space="preserve"> will occur.</w:t>
      </w:r>
      <w:r w:rsidRPr="009869B6">
        <w:t xml:space="preserve"> </w:t>
      </w:r>
      <w:r>
        <w:t xml:space="preserve"> For example, </w:t>
      </w:r>
      <w:r w:rsidRPr="00E95100">
        <w:rPr>
          <w:color w:val="FF0000"/>
        </w:rPr>
        <w:t>«Customer Name»</w:t>
      </w:r>
      <w:r w:rsidRPr="00E95100">
        <w:t xml:space="preserve"> </w:t>
      </w:r>
      <w:r>
        <w:t>must file an Informational Filing by June 1, 2026 (or such other date as determined by BPA pursuant to the ASCM) to (1) participate in the ASC Review Process that begins in 2027, and (2) activate purchase and exchange sales for the Fiscal Years 2029-2030 Exchange Period.</w:t>
      </w:r>
    </w:p>
    <w:p w14:paraId="4E839622" w14:textId="77777777" w:rsidR="000152CB" w:rsidRDefault="000152CB" w:rsidP="000152CB">
      <w:pPr>
        <w:ind w:left="720"/>
      </w:pPr>
    </w:p>
    <w:p w14:paraId="2923834D" w14:textId="77777777" w:rsidR="000152CB" w:rsidRPr="00351FE3" w:rsidRDefault="000152CB" w:rsidP="000152CB">
      <w:pPr>
        <w:keepNext/>
        <w:ind w:left="720"/>
        <w:rPr>
          <w:b/>
          <w:bCs/>
        </w:rPr>
      </w:pPr>
      <w:r w:rsidRPr="00203E0E">
        <w:t>4.2</w:t>
      </w:r>
      <w:r>
        <w:rPr>
          <w:b/>
          <w:bCs/>
        </w:rPr>
        <w:tab/>
      </w:r>
      <w:r w:rsidRPr="00351FE3">
        <w:rPr>
          <w:b/>
          <w:bCs/>
        </w:rPr>
        <w:t xml:space="preserve">Activation of the </w:t>
      </w:r>
      <w:r>
        <w:rPr>
          <w:b/>
          <w:bCs/>
        </w:rPr>
        <w:t xml:space="preserve">Purchase and </w:t>
      </w:r>
      <w:r w:rsidRPr="00351FE3">
        <w:rPr>
          <w:b/>
          <w:bCs/>
        </w:rPr>
        <w:t xml:space="preserve">Exchange </w:t>
      </w:r>
      <w:r>
        <w:rPr>
          <w:b/>
          <w:bCs/>
        </w:rPr>
        <w:t>Sales</w:t>
      </w:r>
    </w:p>
    <w:p w14:paraId="5270D87E" w14:textId="49F7B760" w:rsidR="000152CB" w:rsidRDefault="000152CB" w:rsidP="000152CB">
      <w:pPr>
        <w:ind w:left="1440"/>
      </w:pPr>
      <w:r>
        <w:t xml:space="preserve">The first Exchange Period, during which </w:t>
      </w:r>
      <w:r w:rsidRPr="00E95100">
        <w:rPr>
          <w:color w:val="FF0000"/>
        </w:rPr>
        <w:t>«Customer Name»</w:t>
      </w:r>
      <w:r>
        <w:t xml:space="preserve"> may activate the Purchase and E</w:t>
      </w:r>
      <w:r w:rsidRPr="00351FE3">
        <w:t xml:space="preserve">xchange </w:t>
      </w:r>
      <w:r>
        <w:t>S</w:t>
      </w:r>
      <w:r w:rsidRPr="00351FE3">
        <w:t>ale</w:t>
      </w:r>
      <w:r>
        <w:t>s</w:t>
      </w:r>
      <w:r w:rsidDel="00FF61BE">
        <w:t xml:space="preserve"> </w:t>
      </w:r>
      <w:r>
        <w:t xml:space="preserve">under section 5 of this Agreement, shall commence on October 1, 2028. </w:t>
      </w:r>
      <w:r w:rsidRPr="00E95100">
        <w:t xml:space="preserve"> Once </w:t>
      </w:r>
      <w:r w:rsidRPr="00E95100">
        <w:rPr>
          <w:color w:val="FF0000"/>
        </w:rPr>
        <w:t>«Customer Name»</w:t>
      </w:r>
      <w:r w:rsidRPr="00E95100">
        <w:t xml:space="preserve"> files an Appendix 1, </w:t>
      </w:r>
      <w:r w:rsidRPr="00E95100">
        <w:rPr>
          <w:color w:val="FF0000"/>
        </w:rPr>
        <w:t>«Customer Name»</w:t>
      </w:r>
      <w:r w:rsidRPr="00E95100">
        <w:t xml:space="preserve"> shall continue to file a new Appendix 1 </w:t>
      </w:r>
      <w:r>
        <w:t>pursuant to the effective ASCM</w:t>
      </w:r>
      <w:r w:rsidRPr="00E95100">
        <w:t>, unless</w:t>
      </w:r>
      <w:r>
        <w:t xml:space="preserve"> and until this Agreement terminates </w:t>
      </w:r>
      <w:r w:rsidRPr="00E95100">
        <w:t>pursuant to section 1</w:t>
      </w:r>
      <w:r w:rsidR="00610156">
        <w:t>1</w:t>
      </w:r>
      <w:r w:rsidRPr="00E95100">
        <w:t xml:space="preserve"> below.  </w:t>
      </w:r>
    </w:p>
    <w:p w14:paraId="510321CB" w14:textId="4D252C08" w:rsidR="000152CB" w:rsidRDefault="000152CB">
      <w:pPr>
        <w:spacing w:after="160" w:line="278" w:lineRule="auto"/>
      </w:pPr>
      <w:r>
        <w:br w:type="page"/>
      </w:r>
    </w:p>
    <w:p w14:paraId="5D529213" w14:textId="77777777" w:rsidR="000152CB" w:rsidRPr="00E95100" w:rsidRDefault="000152CB" w:rsidP="000152CB">
      <w:pPr>
        <w:keepNext/>
        <w:ind w:left="720" w:hanging="720"/>
      </w:pPr>
      <w:r w:rsidRPr="00E95100">
        <w:rPr>
          <w:b/>
        </w:rPr>
        <w:lastRenderedPageBreak/>
        <w:t>5.</w:t>
      </w:r>
      <w:r w:rsidRPr="00E95100">
        <w:rPr>
          <w:b/>
        </w:rPr>
        <w:tab/>
      </w:r>
      <w:r>
        <w:rPr>
          <w:b/>
        </w:rPr>
        <w:t xml:space="preserve">PURCHASE AND </w:t>
      </w:r>
      <w:r w:rsidRPr="00351FE3">
        <w:rPr>
          <w:b/>
        </w:rPr>
        <w:t>EXCHANGE SALE</w:t>
      </w:r>
      <w:r>
        <w:rPr>
          <w:b/>
        </w:rPr>
        <w:t>S</w:t>
      </w:r>
      <w:r w:rsidRPr="00351FE3">
        <w:rPr>
          <w:b/>
        </w:rPr>
        <w:t xml:space="preserve"> </w:t>
      </w:r>
      <w:bookmarkStart w:id="0" w:name="_Hlk207000445"/>
      <w:r w:rsidRPr="00351FE3">
        <w:rPr>
          <w:b/>
          <w:caps/>
        </w:rPr>
        <w:t xml:space="preserve">BY </w:t>
      </w:r>
      <w:r w:rsidRPr="00351FE3">
        <w:rPr>
          <w:b/>
          <w:caps/>
          <w:color w:val="FF0000"/>
        </w:rPr>
        <w:t>«Customer Name»</w:t>
      </w:r>
      <w:r w:rsidRPr="00351FE3">
        <w:rPr>
          <w:b/>
        </w:rPr>
        <w:t xml:space="preserve"> AND BPA</w:t>
      </w:r>
      <w:bookmarkEnd w:id="0"/>
    </w:p>
    <w:p w14:paraId="43BAC3EF" w14:textId="77777777" w:rsidR="000152CB" w:rsidRDefault="000152CB" w:rsidP="000152CB">
      <w:pPr>
        <w:ind w:left="720"/>
        <w:rPr>
          <w:b/>
          <w:bCs/>
        </w:rPr>
      </w:pPr>
    </w:p>
    <w:p w14:paraId="6EFB8A47" w14:textId="77777777" w:rsidR="000152CB" w:rsidRDefault="000152CB" w:rsidP="000152CB">
      <w:pPr>
        <w:ind w:left="1440" w:hanging="720"/>
      </w:pPr>
      <w:r w:rsidRPr="00351FE3">
        <w:t>5.1</w:t>
      </w:r>
      <w:r w:rsidRPr="009326FB">
        <w:rPr>
          <w:b/>
          <w:bCs/>
        </w:rPr>
        <w:tab/>
        <w:t xml:space="preserve">Offer by </w:t>
      </w:r>
      <w:r w:rsidRPr="00351FE3">
        <w:rPr>
          <w:b/>
          <w:bCs/>
          <w:color w:val="FF0000"/>
        </w:rPr>
        <w:t>«Customer Name»</w:t>
      </w:r>
      <w:r w:rsidRPr="00E95100">
        <w:t xml:space="preserve"> </w:t>
      </w:r>
      <w:r w:rsidRPr="009326FB">
        <w:rPr>
          <w:b/>
          <w:bCs/>
        </w:rPr>
        <w:t>and Purchase by BPA</w:t>
      </w:r>
      <w:r>
        <w:br/>
        <w:t>Beginning with the first month of the initial Exchange Period established</w:t>
      </w:r>
      <w:r w:rsidRPr="00E95100">
        <w:t xml:space="preserve"> under section 4 above, </w:t>
      </w:r>
      <w:r w:rsidRPr="00E95100">
        <w:rPr>
          <w:color w:val="FF0000"/>
        </w:rPr>
        <w:t>«Customer Name»</w:t>
      </w:r>
      <w:r w:rsidRPr="00E95100">
        <w:t xml:space="preserve"> shall offer and BPA shall purchase an amount of electric power </w:t>
      </w:r>
      <w:r>
        <w:t xml:space="preserve">up to or </w:t>
      </w:r>
      <w:r w:rsidRPr="00E95100">
        <w:t xml:space="preserve">equal to </w:t>
      </w:r>
      <w:r w:rsidRPr="00E95100">
        <w:rPr>
          <w:color w:val="FF0000"/>
        </w:rPr>
        <w:t>«Customer Name»</w:t>
      </w:r>
      <w:r w:rsidRPr="00351FE3">
        <w:t>’s</w:t>
      </w:r>
      <w:r w:rsidRPr="00114B5C">
        <w:t xml:space="preserve"> </w:t>
      </w:r>
      <w:r w:rsidRPr="002C4477">
        <w:t>Residential Load</w:t>
      </w:r>
      <w:r w:rsidRPr="00FA5616">
        <w:t xml:space="preserve"> </w:t>
      </w:r>
      <w:r>
        <w:t xml:space="preserve">for </w:t>
      </w:r>
      <w:r w:rsidRPr="00E95100">
        <w:t>each month</w:t>
      </w:r>
      <w:r>
        <w:t xml:space="preserve"> of the Exchange Period</w:t>
      </w:r>
      <w:r w:rsidRPr="002C4477">
        <w:t>.</w:t>
      </w:r>
      <w:r w:rsidRPr="006F553E">
        <w:t xml:space="preserve"> </w:t>
      </w:r>
    </w:p>
    <w:p w14:paraId="42F4B98F" w14:textId="77777777" w:rsidR="000152CB" w:rsidRDefault="000152CB" w:rsidP="000152CB">
      <w:pPr>
        <w:ind w:left="720"/>
      </w:pPr>
    </w:p>
    <w:p w14:paraId="417F6EDA" w14:textId="77777777" w:rsidR="000152CB" w:rsidRPr="00E95100" w:rsidRDefault="000152CB" w:rsidP="000152CB">
      <w:pPr>
        <w:ind w:left="1440"/>
      </w:pPr>
      <w:r w:rsidRPr="00E95100">
        <w:rPr>
          <w:color w:val="FF0000"/>
        </w:rPr>
        <w:t>«Customer Name»</w:t>
      </w:r>
      <w:r w:rsidRPr="00E95100">
        <w:t xml:space="preserve"> may only sell </w:t>
      </w:r>
      <w:r>
        <w:t xml:space="preserve">an amount of electric </w:t>
      </w:r>
      <w:r w:rsidRPr="00E95100">
        <w:t xml:space="preserve">power under this section 5 </w:t>
      </w:r>
      <w:r>
        <w:t xml:space="preserve">that is up to or equivalent to the </w:t>
      </w:r>
      <w:r w:rsidRPr="00E95100">
        <w:t>Residential Load</w:t>
      </w:r>
      <w:r>
        <w:t xml:space="preserve"> </w:t>
      </w:r>
      <w:r w:rsidRPr="00E95100">
        <w:t xml:space="preserve">that </w:t>
      </w:r>
      <w:r w:rsidRPr="00E95100">
        <w:rPr>
          <w:color w:val="FF0000"/>
        </w:rPr>
        <w:t>«Customer Name»</w:t>
      </w:r>
      <w:r w:rsidRPr="00E95100">
        <w:t xml:space="preserve"> is authorized under </w:t>
      </w:r>
      <w:r>
        <w:t>s</w:t>
      </w:r>
      <w:r w:rsidRPr="00E95100">
        <w:t xml:space="preserve">tate law or by order of the applicable </w:t>
      </w:r>
      <w:r>
        <w:t>s</w:t>
      </w:r>
      <w:r w:rsidRPr="00E95100">
        <w:t>tate regulatory authority to serve.</w:t>
      </w:r>
      <w:r w:rsidRPr="002E0314">
        <w:t xml:space="preserve"> </w:t>
      </w:r>
      <w:r>
        <w:t xml:space="preserve"> </w:t>
      </w:r>
      <w:r w:rsidRPr="00E95100">
        <w:t xml:space="preserve">The rate for such power sale to BPA shall be equal to </w:t>
      </w:r>
      <w:r w:rsidRPr="00E95100">
        <w:rPr>
          <w:color w:val="FF0000"/>
        </w:rPr>
        <w:t>«Customer Name»</w:t>
      </w:r>
      <w:r w:rsidRPr="00E95100">
        <w:t>’s ASC, as determined by BPA using the ASC Methodology.</w:t>
      </w:r>
      <w:r>
        <w:t xml:space="preserve">  </w:t>
      </w:r>
    </w:p>
    <w:p w14:paraId="50CC7B1C" w14:textId="77777777" w:rsidR="000152CB" w:rsidRDefault="000152CB" w:rsidP="000152CB">
      <w:pPr>
        <w:ind w:left="720"/>
      </w:pPr>
    </w:p>
    <w:p w14:paraId="4F9BB9D0" w14:textId="77777777" w:rsidR="000152CB" w:rsidRDefault="000152CB" w:rsidP="000152CB">
      <w:pPr>
        <w:ind w:left="720"/>
      </w:pPr>
      <w:r w:rsidRPr="00351FE3">
        <w:t>5.2</w:t>
      </w:r>
      <w:r w:rsidRPr="00D1640E">
        <w:rPr>
          <w:b/>
          <w:bCs/>
        </w:rPr>
        <w:tab/>
        <w:t xml:space="preserve">Offer by </w:t>
      </w:r>
      <w:r>
        <w:rPr>
          <w:b/>
          <w:bCs/>
        </w:rPr>
        <w:t>BPA</w:t>
      </w:r>
      <w:r w:rsidRPr="00D1640E">
        <w:rPr>
          <w:b/>
          <w:bCs/>
        </w:rPr>
        <w:t xml:space="preserve"> and Purchase by</w:t>
      </w:r>
      <w:r>
        <w:rPr>
          <w:b/>
          <w:bCs/>
        </w:rPr>
        <w:t xml:space="preserve"> </w:t>
      </w:r>
      <w:r w:rsidRPr="00351FE3">
        <w:rPr>
          <w:b/>
          <w:bCs/>
          <w:color w:val="FF0000"/>
        </w:rPr>
        <w:t>«Customer Name»</w:t>
      </w:r>
      <w:r w:rsidRPr="00E95100">
        <w:t xml:space="preserve"> </w:t>
      </w:r>
    </w:p>
    <w:p w14:paraId="243435D5" w14:textId="77777777" w:rsidR="000152CB" w:rsidRDefault="000152CB" w:rsidP="000152CB">
      <w:pPr>
        <w:ind w:left="1440"/>
      </w:pPr>
      <w:r w:rsidRPr="00E95100">
        <w:t xml:space="preserve">Simultaneous with the offer by </w:t>
      </w:r>
      <w:r w:rsidRPr="00E95100">
        <w:rPr>
          <w:color w:val="FF0000"/>
        </w:rPr>
        <w:t>«Customer Name»</w:t>
      </w:r>
      <w:r w:rsidRPr="00E95100">
        <w:t xml:space="preserve"> and purchase by BPA, BPA shall offer and </w:t>
      </w:r>
      <w:r w:rsidRPr="00E95100">
        <w:rPr>
          <w:color w:val="FF0000"/>
        </w:rPr>
        <w:t>«Customer Name»</w:t>
      </w:r>
      <w:r w:rsidRPr="00E95100">
        <w:t xml:space="preserve"> shall purchase each month an amount of electric power equal to the </w:t>
      </w:r>
      <w:r>
        <w:t xml:space="preserve">amount that </w:t>
      </w:r>
      <w:r w:rsidRPr="00E95100">
        <w:rPr>
          <w:color w:val="FF0000"/>
        </w:rPr>
        <w:t>«Customer Name»</w:t>
      </w:r>
      <w:r>
        <w:t xml:space="preserve"> offers and BPA purchases each month pursuant to section 5.1 above.</w:t>
      </w:r>
      <w:r w:rsidRPr="006F553E">
        <w:t xml:space="preserve"> </w:t>
      </w:r>
      <w:r>
        <w:t xml:space="preserve"> </w:t>
      </w:r>
      <w:r w:rsidRPr="00E95100">
        <w:t xml:space="preserve">The rate for such power sale to </w:t>
      </w:r>
      <w:r w:rsidRPr="00E95100">
        <w:rPr>
          <w:color w:val="FF0000"/>
        </w:rPr>
        <w:t>«Customer Name»</w:t>
      </w:r>
      <w:r w:rsidRPr="00E95100">
        <w:t xml:space="preserve"> shall be </w:t>
      </w:r>
      <w:r>
        <w:t xml:space="preserve">equal to </w:t>
      </w:r>
      <w:r w:rsidRPr="00E95100">
        <w:t xml:space="preserve">BPA’s </w:t>
      </w:r>
      <w:r>
        <w:t xml:space="preserve">applicable </w:t>
      </w:r>
      <w:r w:rsidRPr="00E95100">
        <w:t xml:space="preserve">PF Exchange </w:t>
      </w:r>
      <w:r>
        <w:t>r</w:t>
      </w:r>
      <w:r w:rsidRPr="00E95100">
        <w:t>ate</w:t>
      </w:r>
      <w:r>
        <w:t>.</w:t>
      </w:r>
    </w:p>
    <w:p w14:paraId="0201FAFC" w14:textId="77777777" w:rsidR="000152CB" w:rsidRDefault="000152CB" w:rsidP="000152CB">
      <w:pPr>
        <w:ind w:left="720"/>
      </w:pPr>
    </w:p>
    <w:p w14:paraId="2106376B" w14:textId="77777777" w:rsidR="000152CB" w:rsidRPr="009326FB" w:rsidRDefault="000152CB" w:rsidP="000152CB">
      <w:pPr>
        <w:ind w:left="720"/>
        <w:rPr>
          <w:b/>
          <w:bCs/>
        </w:rPr>
      </w:pPr>
      <w:r w:rsidRPr="00351FE3">
        <w:t>5.3</w:t>
      </w:r>
      <w:r>
        <w:rPr>
          <w:b/>
          <w:bCs/>
        </w:rPr>
        <w:tab/>
        <w:t>Calculation of Cost Benefits</w:t>
      </w:r>
    </w:p>
    <w:p w14:paraId="0688BB40" w14:textId="77777777" w:rsidR="000152CB" w:rsidRDefault="000152CB" w:rsidP="000152CB">
      <w:pPr>
        <w:ind w:left="1440"/>
      </w:pPr>
      <w:r>
        <w:t xml:space="preserve">The Purchase and Exchange Sales described in sections 5.1 and 5.2 above shall be simultaneous and offsetting.  No physical delivery of electric power shall occur.  The Cost Benefits to </w:t>
      </w:r>
      <w:r w:rsidRPr="00E95100">
        <w:rPr>
          <w:color w:val="FF0000"/>
        </w:rPr>
        <w:t>«Customer Name»</w:t>
      </w:r>
      <w:r>
        <w:t xml:space="preserve"> shall be determined using the following formula: </w:t>
      </w:r>
    </w:p>
    <w:p w14:paraId="46843348" w14:textId="77777777" w:rsidR="000152CB" w:rsidRDefault="000152CB" w:rsidP="000152CB"/>
    <w:p w14:paraId="58B0315D" w14:textId="77777777" w:rsidR="000152CB" w:rsidRPr="005F3F44" w:rsidRDefault="000152CB" w:rsidP="000152CB">
      <w:pPr>
        <w:ind w:left="1440"/>
      </w:pPr>
      <w:r w:rsidRPr="00351FE3">
        <w:t>(</w:t>
      </w:r>
      <w:r w:rsidRPr="00E95100">
        <w:rPr>
          <w:color w:val="FF0000"/>
        </w:rPr>
        <w:t>«Customer Name»</w:t>
      </w:r>
      <w:r w:rsidRPr="001C5EBD">
        <w:t xml:space="preserve">’s Average System Cost (ASC) – BPA’s </w:t>
      </w:r>
      <w:r>
        <w:t xml:space="preserve">applicable </w:t>
      </w:r>
      <w:r w:rsidRPr="001C5EBD">
        <w:t>P</w:t>
      </w:r>
      <w:r>
        <w:t xml:space="preserve">F </w:t>
      </w:r>
      <w:r w:rsidRPr="001C5EBD">
        <w:t xml:space="preserve">Exchange </w:t>
      </w:r>
      <w:r>
        <w:t>r</w:t>
      </w:r>
      <w:r w:rsidRPr="001C5EBD">
        <w:t>ate</w:t>
      </w:r>
      <w:r>
        <w:t>)</w:t>
      </w:r>
      <w:r w:rsidRPr="001C5EBD">
        <w:t xml:space="preserve"> x </w:t>
      </w:r>
      <w:r w:rsidRPr="00E95100">
        <w:rPr>
          <w:color w:val="FF0000"/>
        </w:rPr>
        <w:t>«Customer Name»</w:t>
      </w:r>
      <w:r>
        <w:t>’s</w:t>
      </w:r>
      <w:r w:rsidRPr="001C5EBD">
        <w:t xml:space="preserve"> Residential Load</w:t>
      </w:r>
      <w:r w:rsidRPr="005F3F44">
        <w:t xml:space="preserve"> = </w:t>
      </w:r>
      <w:r w:rsidRPr="00E95100">
        <w:rPr>
          <w:color w:val="FF0000"/>
        </w:rPr>
        <w:t>«Customer Name»</w:t>
      </w:r>
      <w:r w:rsidRPr="00351FE3">
        <w:t>’s</w:t>
      </w:r>
      <w:r>
        <w:t xml:space="preserve"> Cost B</w:t>
      </w:r>
      <w:r w:rsidRPr="005F3F44">
        <w:t>enefits.</w:t>
      </w:r>
    </w:p>
    <w:p w14:paraId="7A629F50" w14:textId="77777777" w:rsidR="000152CB" w:rsidRDefault="000152CB" w:rsidP="000152CB"/>
    <w:p w14:paraId="26170CCB" w14:textId="3486BACC" w:rsidR="004A34C6" w:rsidRDefault="000152CB" w:rsidP="000152CB">
      <w:pPr>
        <w:ind w:left="1440"/>
      </w:pPr>
      <w:r>
        <w:t xml:space="preserve">If the calculation results in a positive Cost Benefit, then </w:t>
      </w:r>
      <w:r w:rsidRPr="00E95100">
        <w:rPr>
          <w:color w:val="FF0000"/>
        </w:rPr>
        <w:t>«Customer Name»</w:t>
      </w:r>
      <w:r>
        <w:rPr>
          <w:color w:val="FF0000"/>
        </w:rPr>
        <w:t xml:space="preserve"> </w:t>
      </w:r>
      <w:r w:rsidRPr="00351FE3">
        <w:t xml:space="preserve">shall receive </w:t>
      </w:r>
      <w:r>
        <w:t xml:space="preserve">financial payments pursuant to section 6.  If the calculation results in a negative Cost Benefit, then </w:t>
      </w:r>
      <w:r w:rsidRPr="00351FE3">
        <w:t xml:space="preserve">this </w:t>
      </w:r>
      <w:r>
        <w:t>A</w:t>
      </w:r>
      <w:r w:rsidRPr="00351FE3">
        <w:t xml:space="preserve">greement shall suspend pursuant to </w:t>
      </w:r>
      <w:r>
        <w:t>s</w:t>
      </w:r>
      <w:r w:rsidRPr="00351FE3">
        <w:t xml:space="preserve">ection </w:t>
      </w:r>
      <w:r>
        <w:t>11.2</w:t>
      </w:r>
      <w:r w:rsidRPr="00351FE3">
        <w:t>.</w:t>
      </w:r>
    </w:p>
    <w:p w14:paraId="5FFEE442" w14:textId="77777777" w:rsidR="000152CB" w:rsidRDefault="000152CB" w:rsidP="000152CB"/>
    <w:p w14:paraId="7FB7A524" w14:textId="4347523C" w:rsidR="000152CB" w:rsidRDefault="000152CB">
      <w:pPr>
        <w:spacing w:after="160" w:line="278" w:lineRule="auto"/>
      </w:pPr>
      <w:r>
        <w:br w:type="page"/>
      </w:r>
    </w:p>
    <w:p w14:paraId="27E8DF4A" w14:textId="77777777" w:rsidR="0076677F" w:rsidRPr="00D84AFC" w:rsidRDefault="0076677F" w:rsidP="0076677F">
      <w:pPr>
        <w:keepNext/>
        <w:rPr>
          <w:b/>
        </w:rPr>
      </w:pPr>
      <w:bookmarkStart w:id="1" w:name="_Hlk207889802"/>
      <w:r>
        <w:rPr>
          <w:b/>
        </w:rPr>
        <w:lastRenderedPageBreak/>
        <w:t>6</w:t>
      </w:r>
      <w:r w:rsidRPr="00E95100">
        <w:rPr>
          <w:b/>
        </w:rPr>
        <w:t>.</w:t>
      </w:r>
      <w:r>
        <w:rPr>
          <w:b/>
        </w:rPr>
        <w:tab/>
        <w:t>INVOICING FOR COST BENEFITS</w:t>
      </w:r>
    </w:p>
    <w:p w14:paraId="2BCAF48C" w14:textId="77777777" w:rsidR="0076677F" w:rsidRDefault="0076677F" w:rsidP="0076677F">
      <w:pPr>
        <w:keepNext/>
        <w:ind w:left="720"/>
      </w:pPr>
    </w:p>
    <w:p w14:paraId="24147075" w14:textId="77777777" w:rsidR="0076677F" w:rsidRPr="00D84AFC" w:rsidRDefault="0076677F" w:rsidP="0076677F">
      <w:pPr>
        <w:keepNext/>
        <w:ind w:left="720"/>
      </w:pPr>
      <w:r>
        <w:tab/>
      </w:r>
      <w:r w:rsidRPr="00351FE3">
        <w:rPr>
          <w:i/>
          <w:color w:val="FF00FF"/>
        </w:rPr>
        <w:t>Option 1: REPSIA rollover</w:t>
      </w:r>
      <w:r w:rsidRPr="00F70BD8">
        <w:rPr>
          <w:i/>
          <w:color w:val="FF00FF"/>
        </w:rPr>
        <w:t>/historical</w:t>
      </w:r>
    </w:p>
    <w:p w14:paraId="3F2B0AED" w14:textId="77777777" w:rsidR="0076677F" w:rsidRPr="00351FE3" w:rsidRDefault="0076677F" w:rsidP="0076677F">
      <w:pPr>
        <w:keepNext/>
        <w:ind w:left="720"/>
        <w:rPr>
          <w:b/>
          <w:bCs/>
        </w:rPr>
      </w:pPr>
      <w:r>
        <w:t>6.1</w:t>
      </w:r>
      <w:r>
        <w:tab/>
      </w:r>
      <w:r w:rsidRPr="00F10F5D">
        <w:rPr>
          <w:b/>
          <w:bCs/>
        </w:rPr>
        <w:t>Rate Case Billing Determinant</w:t>
      </w:r>
    </w:p>
    <w:p w14:paraId="714EF871" w14:textId="77777777" w:rsidR="0076677F" w:rsidRDefault="0076677F" w:rsidP="0076677F">
      <w:pPr>
        <w:ind w:left="1440"/>
      </w:pPr>
      <w:r>
        <w:t>The rate case billing determinant for the Purchase and Exchange Sale</w:t>
      </w:r>
      <w:r w:rsidDel="00140109">
        <w:t xml:space="preserve"> </w:t>
      </w:r>
      <w:r>
        <w:t xml:space="preserve">pursuant to section 5 above for </w:t>
      </w:r>
      <w:r w:rsidRPr="008938E0">
        <w:t>any month of a Rate Period</w:t>
      </w:r>
      <w:r>
        <w:t xml:space="preserve"> shall be equal to the average of </w:t>
      </w:r>
      <w:r w:rsidRPr="00E95100">
        <w:rPr>
          <w:color w:val="FF0000"/>
        </w:rPr>
        <w:t>«Customer Name»</w:t>
      </w:r>
      <w:r>
        <w:t>’s Residential Load for</w:t>
      </w:r>
    </w:p>
    <w:p w14:paraId="7D9DF8CA" w14:textId="77777777" w:rsidR="0076677F" w:rsidRDefault="0076677F" w:rsidP="0076677F">
      <w:pPr>
        <w:ind w:left="1440"/>
      </w:pPr>
    </w:p>
    <w:p w14:paraId="305E5365" w14:textId="77777777" w:rsidR="0076677F" w:rsidRPr="008938E0" w:rsidRDefault="0076677F" w:rsidP="0076677F">
      <w:pPr>
        <w:ind w:left="2160"/>
      </w:pPr>
      <w:r>
        <w:t xml:space="preserve">a) </w:t>
      </w:r>
      <w:r w:rsidRPr="008938E0">
        <w:t>the same month in the “Base Period” (as that term is defined in BPA’s ASC</w:t>
      </w:r>
      <w:r>
        <w:t xml:space="preserve"> </w:t>
      </w:r>
      <w:r w:rsidRPr="008938E0">
        <w:t>Methodology) applicable to such Rate Period, and</w:t>
      </w:r>
    </w:p>
    <w:p w14:paraId="2DB226D4" w14:textId="77777777" w:rsidR="0076677F" w:rsidRDefault="0076677F" w:rsidP="0076677F">
      <w:pPr>
        <w:ind w:left="2880" w:firstLine="2160"/>
      </w:pPr>
    </w:p>
    <w:p w14:paraId="26886464" w14:textId="77777777" w:rsidR="0076677F" w:rsidRDefault="0076677F" w:rsidP="0076677F">
      <w:pPr>
        <w:ind w:firstLine="2160"/>
      </w:pPr>
      <w:r>
        <w:t xml:space="preserve">b) </w:t>
      </w:r>
      <w:r w:rsidRPr="008938E0">
        <w:t>the same month in the 12 months following such Base Period.</w:t>
      </w:r>
    </w:p>
    <w:p w14:paraId="59800DD8" w14:textId="77777777" w:rsidR="0076677F" w:rsidRPr="00D84AFC" w:rsidRDefault="0076677F" w:rsidP="0076677F">
      <w:pPr>
        <w:ind w:left="1440" w:hanging="720"/>
      </w:pPr>
    </w:p>
    <w:p w14:paraId="209FF62E" w14:textId="77777777" w:rsidR="0076677F" w:rsidRPr="00351FE3" w:rsidRDefault="0076677F" w:rsidP="0076677F">
      <w:pPr>
        <w:ind w:left="720"/>
        <w:rPr>
          <w:b/>
        </w:rPr>
      </w:pPr>
      <w:r>
        <w:t xml:space="preserve">6.2 </w:t>
      </w:r>
      <w:r>
        <w:tab/>
      </w:r>
      <w:r w:rsidRPr="00351FE3">
        <w:rPr>
          <w:b/>
        </w:rPr>
        <w:t>Invoicing for Residential Load</w:t>
      </w:r>
    </w:p>
    <w:p w14:paraId="33B40CF7" w14:textId="77777777" w:rsidR="0076677F" w:rsidRDefault="0076677F" w:rsidP="0076677F">
      <w:pPr>
        <w:pStyle w:val="BodyText21"/>
        <w:ind w:left="2160"/>
      </w:pPr>
    </w:p>
    <w:p w14:paraId="1D6239CC" w14:textId="087442C6" w:rsidR="0076677F" w:rsidRPr="009E0F02" w:rsidRDefault="0076677F" w:rsidP="0076677F">
      <w:pPr>
        <w:ind w:left="2160" w:hanging="720"/>
        <w:rPr>
          <w:szCs w:val="22"/>
        </w:rPr>
      </w:pPr>
      <w:r>
        <w:t>6</w:t>
      </w:r>
      <w:r w:rsidRPr="00D84AFC">
        <w:t>.</w:t>
      </w:r>
      <w:r>
        <w:t>2.1</w:t>
      </w:r>
      <w:r w:rsidRPr="00D84AFC">
        <w:tab/>
      </w:r>
      <w:r>
        <w:rPr>
          <w:szCs w:val="22"/>
        </w:rPr>
        <w:t xml:space="preserve">Through the customer portal or successor, </w:t>
      </w:r>
      <w:r w:rsidRPr="000E2A5B">
        <w:rPr>
          <w:color w:val="FF0000"/>
          <w:szCs w:val="22"/>
        </w:rPr>
        <w:t>«Customer Name»</w:t>
      </w:r>
      <w:r w:rsidRPr="000E2A5B">
        <w:rPr>
          <w:szCs w:val="22"/>
        </w:rPr>
        <w:t xml:space="preserve"> shall submit to BPA </w:t>
      </w:r>
      <w:r>
        <w:rPr>
          <w:szCs w:val="22"/>
        </w:rPr>
        <w:t>an invoice no later than the 15</w:t>
      </w:r>
      <w:r w:rsidRPr="00351FE3">
        <w:rPr>
          <w:szCs w:val="22"/>
          <w:vertAlign w:val="superscript"/>
        </w:rPr>
        <w:t>th</w:t>
      </w:r>
      <w:r>
        <w:rPr>
          <w:szCs w:val="22"/>
        </w:rPr>
        <w:t xml:space="preserve"> of each month that includes </w:t>
      </w:r>
      <w:r w:rsidRPr="00B97FC3">
        <w:rPr>
          <w:szCs w:val="22"/>
        </w:rPr>
        <w:t xml:space="preserve">the amount of </w:t>
      </w:r>
      <w:r w:rsidRPr="00351FE3">
        <w:rPr>
          <w:color w:val="EE0000"/>
          <w:szCs w:val="22"/>
        </w:rPr>
        <w:t>«Customer Name»</w:t>
      </w:r>
      <w:r w:rsidRPr="00B97FC3">
        <w:rPr>
          <w:szCs w:val="22"/>
        </w:rPr>
        <w:t xml:space="preserve">’s Residential Load for the </w:t>
      </w:r>
      <w:r>
        <w:rPr>
          <w:szCs w:val="22"/>
        </w:rPr>
        <w:t xml:space="preserve">prior </w:t>
      </w:r>
      <w:r w:rsidRPr="00B97FC3">
        <w:rPr>
          <w:szCs w:val="22"/>
        </w:rPr>
        <w:t>month pursuant to section </w:t>
      </w:r>
      <w:r>
        <w:rPr>
          <w:szCs w:val="22"/>
        </w:rPr>
        <w:t>6</w:t>
      </w:r>
      <w:r w:rsidRPr="00B97FC3">
        <w:rPr>
          <w:szCs w:val="22"/>
        </w:rPr>
        <w:t>.1</w:t>
      </w:r>
      <w:r>
        <w:rPr>
          <w:szCs w:val="22"/>
        </w:rPr>
        <w:t xml:space="preserve">. </w:t>
      </w:r>
      <w:r w:rsidRPr="009E0F02">
        <w:rPr>
          <w:szCs w:val="22"/>
        </w:rPr>
        <w:t xml:space="preserve">Each </w:t>
      </w:r>
      <w:r>
        <w:rPr>
          <w:szCs w:val="22"/>
        </w:rPr>
        <w:t xml:space="preserve">such invoice </w:t>
      </w:r>
      <w:r w:rsidRPr="009E0F02">
        <w:rPr>
          <w:szCs w:val="22"/>
        </w:rPr>
        <w:t>shall be subject to adjustment pursuant to section</w:t>
      </w:r>
      <w:r>
        <w:rPr>
          <w:szCs w:val="22"/>
        </w:rPr>
        <w:t>s 7</w:t>
      </w:r>
      <w:r w:rsidR="00D11E32">
        <w:rPr>
          <w:szCs w:val="22"/>
        </w:rPr>
        <w:t>, 8</w:t>
      </w:r>
      <w:r>
        <w:rPr>
          <w:szCs w:val="22"/>
        </w:rPr>
        <w:t xml:space="preserve"> and </w:t>
      </w:r>
      <w:r w:rsidR="00D11E32">
        <w:rPr>
          <w:szCs w:val="22"/>
        </w:rPr>
        <w:t>10</w:t>
      </w:r>
      <w:r w:rsidRPr="009E0F02">
        <w:rPr>
          <w:szCs w:val="22"/>
        </w:rPr>
        <w:t xml:space="preserve"> below.</w:t>
      </w:r>
    </w:p>
    <w:p w14:paraId="5C500752" w14:textId="77777777" w:rsidR="0076677F" w:rsidRDefault="0076677F" w:rsidP="0076677F">
      <w:pPr>
        <w:ind w:left="2160" w:hanging="720"/>
      </w:pPr>
    </w:p>
    <w:p w14:paraId="0535C82F" w14:textId="0B407C3F" w:rsidR="0076677F" w:rsidRDefault="0076677F" w:rsidP="0076677F">
      <w:pPr>
        <w:ind w:left="2160" w:hanging="720"/>
      </w:pPr>
      <w:r>
        <w:t>6.2.2</w:t>
      </w:r>
      <w:r>
        <w:tab/>
      </w:r>
      <w:r w:rsidRPr="00D84AFC">
        <w:t>Within 30 </w:t>
      </w:r>
      <w:r>
        <w:t xml:space="preserve">calendar </w:t>
      </w:r>
      <w:r w:rsidRPr="00D84AFC">
        <w:t xml:space="preserve">days following </w:t>
      </w:r>
      <w:r>
        <w:t>BPA’s</w:t>
      </w:r>
      <w:r w:rsidRPr="00D84AFC">
        <w:t xml:space="preserve"> receipt of each monthly invoice from </w:t>
      </w:r>
      <w:r w:rsidRPr="00D84AFC">
        <w:rPr>
          <w:color w:val="FF0000"/>
        </w:rPr>
        <w:t>«Customer Name»</w:t>
      </w:r>
      <w:r>
        <w:t>, and</w:t>
      </w:r>
      <w:r w:rsidRPr="00D84AFC">
        <w:t xml:space="preserve"> subject to section</w:t>
      </w:r>
      <w:r>
        <w:t>s</w:t>
      </w:r>
      <w:r w:rsidRPr="00D84AFC">
        <w:t> </w:t>
      </w:r>
      <w:r w:rsidR="00610156">
        <w:t>7</w:t>
      </w:r>
      <w:r w:rsidR="00FD7A60">
        <w:t>, 8</w:t>
      </w:r>
      <w:r>
        <w:t xml:space="preserve"> and </w:t>
      </w:r>
      <w:r w:rsidR="00FD7A60">
        <w:t>10</w:t>
      </w:r>
      <w:r w:rsidRPr="00D84AFC">
        <w:t xml:space="preserve"> below, BPA shall verify the invoice</w:t>
      </w:r>
      <w:r>
        <w:t xml:space="preserve"> and pay such invoice electronically in accordance with instructions on each such invoice.  If the 30</w:t>
      </w:r>
      <w:r w:rsidRPr="00351FE3">
        <w:rPr>
          <w:vertAlign w:val="superscript"/>
        </w:rPr>
        <w:t>th</w:t>
      </w:r>
      <w:r>
        <w:t xml:space="preserve"> calendar day is a Saturday, Sunday, or federal holiday, BPA shall pay such invoice electronically the next </w:t>
      </w:r>
      <w:r w:rsidR="00E908AC">
        <w:t>B</w:t>
      </w:r>
      <w:r>
        <w:t xml:space="preserve">usiness </w:t>
      </w:r>
      <w:r w:rsidR="00E908AC">
        <w:t>D</w:t>
      </w:r>
      <w:r>
        <w:t>ay.</w:t>
      </w:r>
    </w:p>
    <w:p w14:paraId="7B4D5C0F" w14:textId="77777777" w:rsidR="0076677F" w:rsidRDefault="0076677F" w:rsidP="0076677F">
      <w:pPr>
        <w:ind w:left="2160" w:hanging="720"/>
      </w:pPr>
    </w:p>
    <w:p w14:paraId="61D19300" w14:textId="770632C1" w:rsidR="0076677F" w:rsidRPr="00351FE3" w:rsidRDefault="0076677F" w:rsidP="0076677F">
      <w:pPr>
        <w:ind w:left="2160" w:hanging="720"/>
        <w:rPr>
          <w:i/>
          <w:iCs/>
        </w:rPr>
      </w:pPr>
      <w:r>
        <w:t>6.2.3</w:t>
      </w:r>
      <w:r>
        <w:tab/>
      </w:r>
      <w:r>
        <w:rPr>
          <w:szCs w:val="22"/>
        </w:rPr>
        <w:t xml:space="preserve">Additionally, </w:t>
      </w:r>
      <w:r w:rsidRPr="000E2A5B">
        <w:rPr>
          <w:color w:val="FF0000"/>
          <w:szCs w:val="22"/>
        </w:rPr>
        <w:t>«Customer Name»</w:t>
      </w:r>
      <w:r w:rsidRPr="000E2A5B">
        <w:rPr>
          <w:szCs w:val="22"/>
        </w:rPr>
        <w:t xml:space="preserve"> </w:t>
      </w:r>
      <w:r>
        <w:rPr>
          <w:szCs w:val="22"/>
        </w:rPr>
        <w:t>shall submit the</w:t>
      </w:r>
      <w:r w:rsidRPr="00732C75">
        <w:rPr>
          <w:szCs w:val="22"/>
        </w:rPr>
        <w:t xml:space="preserve"> </w:t>
      </w:r>
      <w:r w:rsidRPr="009E0F02">
        <w:rPr>
          <w:szCs w:val="22"/>
        </w:rPr>
        <w:t xml:space="preserve">sum of </w:t>
      </w:r>
      <w:r w:rsidRPr="00732C75">
        <w:rPr>
          <w:color w:val="EE0000"/>
          <w:szCs w:val="22"/>
        </w:rPr>
        <w:t>«Customer Name»</w:t>
      </w:r>
      <w:r w:rsidRPr="009E0F02">
        <w:rPr>
          <w:szCs w:val="22"/>
        </w:rPr>
        <w:t>’s Residential Load for such month.</w:t>
      </w:r>
      <w:r>
        <w:rPr>
          <w:szCs w:val="22"/>
        </w:rPr>
        <w:t xml:space="preserve">  </w:t>
      </w:r>
      <w:r w:rsidRPr="009E0F02">
        <w:rPr>
          <w:szCs w:val="22"/>
        </w:rPr>
        <w:t>Each submittal shall be subject to adjustment pursuant to section</w:t>
      </w:r>
      <w:r>
        <w:rPr>
          <w:szCs w:val="22"/>
        </w:rPr>
        <w:t>s 7</w:t>
      </w:r>
      <w:r w:rsidR="00FD7A60">
        <w:rPr>
          <w:szCs w:val="22"/>
        </w:rPr>
        <w:t>, 8</w:t>
      </w:r>
      <w:r>
        <w:rPr>
          <w:szCs w:val="22"/>
        </w:rPr>
        <w:t xml:space="preserve"> and </w:t>
      </w:r>
      <w:r w:rsidR="00FD7A60">
        <w:rPr>
          <w:szCs w:val="22"/>
        </w:rPr>
        <w:t>10</w:t>
      </w:r>
      <w:r w:rsidRPr="009E0F02">
        <w:rPr>
          <w:szCs w:val="22"/>
        </w:rPr>
        <w:t xml:space="preserve"> below.</w:t>
      </w:r>
    </w:p>
    <w:p w14:paraId="4001420A" w14:textId="77777777" w:rsidR="0076677F" w:rsidRDefault="0076677F" w:rsidP="0076677F">
      <w:r>
        <w:tab/>
      </w:r>
    </w:p>
    <w:p w14:paraId="26DE1DC4" w14:textId="20D404F2" w:rsidR="005743A9" w:rsidRPr="00D555E8" w:rsidRDefault="005743A9" w:rsidP="005743A9">
      <w:pPr>
        <w:ind w:left="1440" w:hanging="720"/>
      </w:pPr>
      <w:r w:rsidRPr="00D72104">
        <w:t>6.3</w:t>
      </w:r>
      <w:r w:rsidRPr="00D72104">
        <w:tab/>
      </w:r>
      <w:r w:rsidR="00E26897" w:rsidRPr="00E26897">
        <w:rPr>
          <w:highlight w:val="yellow"/>
        </w:rPr>
        <w:t xml:space="preserve">For purposes of calculating </w:t>
      </w:r>
      <w:r w:rsidR="00E26897" w:rsidRPr="00E26897">
        <w:rPr>
          <w:color w:val="EE0000"/>
          <w:highlight w:val="yellow"/>
        </w:rPr>
        <w:t>«Customer Name»’s</w:t>
      </w:r>
      <w:r w:rsidR="00E26897" w:rsidRPr="00E26897">
        <w:rPr>
          <w:highlight w:val="yellow"/>
        </w:rPr>
        <w:t xml:space="preserve"> Cost Benefits in Section 5.3, BPA’s applicable PF Exchange rate will not be subject to mid-Rate Period risk adjustments (for example, the Power Cost Recovery Adjustment Clause, the Power Reserves Distribution Clause, and the Financial Reserves Policy Surcharge). Additionally, for purposes of calculating </w:t>
      </w:r>
      <w:r w:rsidR="00E26897" w:rsidRPr="00E26897">
        <w:rPr>
          <w:color w:val="EE0000"/>
          <w:highlight w:val="yellow"/>
        </w:rPr>
        <w:t xml:space="preserve">«Customer Name»’s </w:t>
      </w:r>
      <w:r w:rsidR="00E26897" w:rsidRPr="00E26897">
        <w:rPr>
          <w:highlight w:val="yellow"/>
        </w:rPr>
        <w:t xml:space="preserve">Cost Benefits in Section 5.3, </w:t>
      </w:r>
      <w:r w:rsidR="00E26897" w:rsidRPr="00E26897">
        <w:rPr>
          <w:color w:val="EE0000"/>
          <w:highlight w:val="yellow"/>
        </w:rPr>
        <w:t xml:space="preserve">«Customer Name»’s </w:t>
      </w:r>
      <w:r w:rsidR="00E26897" w:rsidRPr="00E26897">
        <w:rPr>
          <w:highlight w:val="yellow"/>
        </w:rPr>
        <w:t>ASC will not be subject to mid-Rate Period adjustments, pursuant to the ASCM, for major resource additions or reductions, NLSLs, or changes to service territory</w:t>
      </w:r>
      <w:r w:rsidRPr="00E26897">
        <w:rPr>
          <w:highlight w:val="yellow"/>
        </w:rPr>
        <w:t>.</w:t>
      </w:r>
    </w:p>
    <w:p w14:paraId="7B7ECEEE" w14:textId="77777777" w:rsidR="0076677F" w:rsidRPr="00351FE3" w:rsidRDefault="0076677F" w:rsidP="0076677F">
      <w:pPr>
        <w:ind w:left="2160" w:hanging="720"/>
        <w:rPr>
          <w:i/>
          <w:color w:val="FF00FF"/>
        </w:rPr>
      </w:pPr>
      <w:r w:rsidRPr="00351FE3">
        <w:rPr>
          <w:i/>
          <w:color w:val="FF00FF"/>
        </w:rPr>
        <w:t>End option 1</w:t>
      </w:r>
    </w:p>
    <w:bookmarkEnd w:id="1"/>
    <w:p w14:paraId="4AD57B0B" w14:textId="77777777" w:rsidR="0076677F" w:rsidRDefault="0076677F" w:rsidP="0076677F">
      <w:pPr>
        <w:ind w:left="2160" w:hanging="720"/>
      </w:pPr>
    </w:p>
    <w:p w14:paraId="7ADE3520" w14:textId="77777777" w:rsidR="0076677F" w:rsidRPr="00351FE3" w:rsidRDefault="0076677F" w:rsidP="0076677F">
      <w:pPr>
        <w:keepNext/>
        <w:ind w:left="720" w:firstLine="720"/>
        <w:rPr>
          <w:i/>
          <w:color w:val="FF00FF"/>
        </w:rPr>
      </w:pPr>
      <w:r w:rsidRPr="00351FE3">
        <w:rPr>
          <w:i/>
          <w:color w:val="FF00FF"/>
        </w:rPr>
        <w:t xml:space="preserve">Option 2: </w:t>
      </w:r>
      <w:r>
        <w:rPr>
          <w:i/>
          <w:color w:val="FF00FF"/>
        </w:rPr>
        <w:t>Forecast</w:t>
      </w:r>
    </w:p>
    <w:p w14:paraId="39A90E8D" w14:textId="77777777" w:rsidR="0076677F" w:rsidRPr="00351FE3" w:rsidRDefault="0076677F" w:rsidP="0076677F">
      <w:pPr>
        <w:keepNext/>
        <w:ind w:left="720"/>
        <w:rPr>
          <w:b/>
          <w:bCs/>
        </w:rPr>
      </w:pPr>
      <w:r>
        <w:t>6.1</w:t>
      </w:r>
      <w:r>
        <w:tab/>
      </w:r>
      <w:r w:rsidRPr="00F10F5D">
        <w:rPr>
          <w:b/>
          <w:bCs/>
        </w:rPr>
        <w:t xml:space="preserve">Rate Case </w:t>
      </w:r>
      <w:r>
        <w:rPr>
          <w:b/>
          <w:bCs/>
        </w:rPr>
        <w:t>Forecast</w:t>
      </w:r>
    </w:p>
    <w:p w14:paraId="25A00FDD" w14:textId="77777777" w:rsidR="0076677F" w:rsidRDefault="0076677F" w:rsidP="0076677F">
      <w:pPr>
        <w:ind w:left="1440"/>
      </w:pPr>
      <w:r w:rsidRPr="00351FE3">
        <w:t xml:space="preserve">Pursuant to the ASC Methodology, </w:t>
      </w:r>
      <w:r w:rsidRPr="00D84AFC">
        <w:rPr>
          <w:color w:val="FF0000"/>
        </w:rPr>
        <w:t>«Customer Name»</w:t>
      </w:r>
      <w:r w:rsidRPr="00D84AFC">
        <w:t xml:space="preserve"> </w:t>
      </w:r>
      <w:r>
        <w:t xml:space="preserve">shall provide a forecast of </w:t>
      </w:r>
      <w:r w:rsidRPr="00D84AFC">
        <w:rPr>
          <w:color w:val="FF0000"/>
        </w:rPr>
        <w:t>«Customer Name»</w:t>
      </w:r>
      <w:r>
        <w:t>’s Residential Load as part of the ASC Review Process and Informational Filings.  Such forecast will be in monthly increments for each month of the applicable Exchange Period.</w:t>
      </w:r>
    </w:p>
    <w:p w14:paraId="088D668F" w14:textId="77777777" w:rsidR="0076677F" w:rsidRPr="00D84AFC" w:rsidRDefault="0076677F" w:rsidP="0076677F"/>
    <w:p w14:paraId="33A42430" w14:textId="77777777" w:rsidR="0076677F" w:rsidRPr="00B82178" w:rsidRDefault="0076677F" w:rsidP="0076677F">
      <w:pPr>
        <w:ind w:left="1440" w:hanging="720"/>
        <w:rPr>
          <w:b/>
        </w:rPr>
      </w:pPr>
      <w:r>
        <w:t>6.2</w:t>
      </w:r>
      <w:r>
        <w:tab/>
      </w:r>
      <w:r w:rsidRPr="00B82178">
        <w:rPr>
          <w:b/>
        </w:rPr>
        <w:t>Invoicing for Residential Load</w:t>
      </w:r>
    </w:p>
    <w:p w14:paraId="3B0D0DAB" w14:textId="77777777" w:rsidR="0076677F" w:rsidRDefault="0076677F" w:rsidP="0076677F">
      <w:pPr>
        <w:pStyle w:val="BodyText21"/>
        <w:ind w:left="2160"/>
      </w:pPr>
    </w:p>
    <w:p w14:paraId="7ED236DA" w14:textId="5DA37874" w:rsidR="0076677F" w:rsidRDefault="0076677F" w:rsidP="0076677F">
      <w:pPr>
        <w:ind w:left="2160" w:hanging="720"/>
      </w:pPr>
      <w:r>
        <w:lastRenderedPageBreak/>
        <w:t>6</w:t>
      </w:r>
      <w:r w:rsidRPr="00D84AFC">
        <w:t>.</w:t>
      </w:r>
      <w:r>
        <w:t>2.1</w:t>
      </w:r>
      <w:r w:rsidRPr="00D84AFC">
        <w:tab/>
      </w:r>
      <w:r>
        <w:t xml:space="preserve">Through the customer portal or successor, </w:t>
      </w:r>
      <w:r w:rsidRPr="00D84AFC">
        <w:rPr>
          <w:color w:val="FF0000"/>
        </w:rPr>
        <w:t>«Customer Name»</w:t>
      </w:r>
      <w:r w:rsidRPr="00D84AFC">
        <w:t xml:space="preserve"> shall submit to BPA</w:t>
      </w:r>
      <w:r>
        <w:t xml:space="preserve"> an invoice no later than the 15</w:t>
      </w:r>
      <w:r w:rsidRPr="00351FE3">
        <w:rPr>
          <w:vertAlign w:val="superscript"/>
        </w:rPr>
        <w:t>th</w:t>
      </w:r>
      <w:r>
        <w:t xml:space="preserve"> of</w:t>
      </w:r>
      <w:r w:rsidRPr="00D84AFC">
        <w:t xml:space="preserve"> each month</w:t>
      </w:r>
      <w:r>
        <w:t xml:space="preserve"> that includes the amount of </w:t>
      </w:r>
      <w:r w:rsidRPr="00D84AFC">
        <w:rPr>
          <w:color w:val="FF0000"/>
        </w:rPr>
        <w:t>«Customer Name»</w:t>
      </w:r>
      <w:r>
        <w:t>’s Residential Load of the prior month.  Each such invoice shall be</w:t>
      </w:r>
      <w:r w:rsidRPr="00D84AFC">
        <w:t xml:space="preserve"> subject to adjustment pursuant to section</w:t>
      </w:r>
      <w:r>
        <w:t>s</w:t>
      </w:r>
      <w:r w:rsidRPr="00D84AFC">
        <w:t> </w:t>
      </w:r>
      <w:r>
        <w:t>7</w:t>
      </w:r>
      <w:r w:rsidR="002229D0">
        <w:t>, 8</w:t>
      </w:r>
      <w:r>
        <w:t xml:space="preserve"> and </w:t>
      </w:r>
      <w:r w:rsidR="002229D0">
        <w:t>10</w:t>
      </w:r>
      <w:r w:rsidRPr="00D84AFC">
        <w:t xml:space="preserve"> below.</w:t>
      </w:r>
      <w:r>
        <w:t xml:space="preserve"> </w:t>
      </w:r>
    </w:p>
    <w:p w14:paraId="618F5250" w14:textId="77777777" w:rsidR="0076677F" w:rsidRDefault="0076677F" w:rsidP="0076677F">
      <w:pPr>
        <w:ind w:left="2160" w:hanging="720"/>
      </w:pPr>
    </w:p>
    <w:p w14:paraId="5255B07C" w14:textId="5BB48294" w:rsidR="0076677F" w:rsidRDefault="0076677F" w:rsidP="0076677F">
      <w:pPr>
        <w:ind w:left="2160" w:hanging="720"/>
      </w:pPr>
      <w:r>
        <w:t>6.2.2</w:t>
      </w:r>
      <w:r>
        <w:tab/>
      </w:r>
      <w:r w:rsidRPr="00D84AFC">
        <w:t xml:space="preserve">Within 30 days following the </w:t>
      </w:r>
      <w:r>
        <w:t>submittal</w:t>
      </w:r>
      <w:r w:rsidRPr="00D84AFC">
        <w:t xml:space="preserve"> of each monthly invoice </w:t>
      </w:r>
      <w:r>
        <w:t xml:space="preserve">by </w:t>
      </w:r>
      <w:r w:rsidRPr="00D84AFC">
        <w:rPr>
          <w:color w:val="FF0000"/>
        </w:rPr>
        <w:t>«Customer Name»</w:t>
      </w:r>
      <w:r>
        <w:t>, and</w:t>
      </w:r>
      <w:r w:rsidRPr="00D84AFC">
        <w:t xml:space="preserve"> subject to section</w:t>
      </w:r>
      <w:r>
        <w:t>s</w:t>
      </w:r>
      <w:r w:rsidRPr="00D84AFC">
        <w:t> </w:t>
      </w:r>
      <w:r>
        <w:t>7</w:t>
      </w:r>
      <w:r w:rsidR="002229D0">
        <w:t>, 8</w:t>
      </w:r>
      <w:r>
        <w:t xml:space="preserve"> and </w:t>
      </w:r>
      <w:r w:rsidR="002229D0">
        <w:t>10</w:t>
      </w:r>
      <w:r w:rsidRPr="00D84AFC">
        <w:t xml:space="preserve"> below, BPA shall verify the invoice</w:t>
      </w:r>
      <w:r>
        <w:t xml:space="preserve"> and pay such invoice electronically in accordance with instructions on each such invoice.  If the 30</w:t>
      </w:r>
      <w:r w:rsidRPr="00351FE3">
        <w:rPr>
          <w:vertAlign w:val="superscript"/>
        </w:rPr>
        <w:t>th</w:t>
      </w:r>
      <w:r>
        <w:t xml:space="preserve"> calendar day is a Saturday, Sunday, or federal holiday, BPA shall pay such invoice electronically the next </w:t>
      </w:r>
      <w:r w:rsidR="00E908AC">
        <w:t>B</w:t>
      </w:r>
      <w:r>
        <w:t xml:space="preserve">usiness </w:t>
      </w:r>
      <w:r w:rsidR="00E908AC">
        <w:t>D</w:t>
      </w:r>
      <w:r>
        <w:t>ay.</w:t>
      </w:r>
    </w:p>
    <w:p w14:paraId="0CE3E23E" w14:textId="4418B922" w:rsidR="00EE4489" w:rsidRPr="00EE4489" w:rsidRDefault="00EE4489" w:rsidP="0076677F">
      <w:pPr>
        <w:ind w:left="2160" w:hanging="720"/>
        <w:rPr>
          <w:i/>
          <w:color w:val="FF00FF"/>
        </w:rPr>
      </w:pPr>
      <w:r w:rsidRPr="00EE4489">
        <w:rPr>
          <w:i/>
          <w:color w:val="FF00FF"/>
        </w:rPr>
        <w:t>End option 2</w:t>
      </w:r>
    </w:p>
    <w:p w14:paraId="3C6074B1" w14:textId="77777777" w:rsidR="0076677F" w:rsidRDefault="0076677F" w:rsidP="0076677F">
      <w:pPr>
        <w:keepNext/>
      </w:pPr>
    </w:p>
    <w:p w14:paraId="5B697680" w14:textId="77D0E6AC" w:rsidR="0076677F" w:rsidRPr="00D84AFC" w:rsidRDefault="0076677F" w:rsidP="0076677F">
      <w:pPr>
        <w:keepNext/>
        <w:ind w:firstLine="720"/>
        <w:rPr>
          <w:szCs w:val="22"/>
        </w:rPr>
      </w:pPr>
      <w:r>
        <w:t>6.</w:t>
      </w:r>
      <w:r w:rsidR="00EE4489">
        <w:t>3/4</w:t>
      </w:r>
      <w:r>
        <w:tab/>
      </w:r>
      <w:r w:rsidRPr="00D84AFC">
        <w:rPr>
          <w:b/>
          <w:szCs w:val="22"/>
        </w:rPr>
        <w:t>Late Payments</w:t>
      </w:r>
    </w:p>
    <w:p w14:paraId="222AA0E4" w14:textId="64EAACD1" w:rsidR="00E54A0C" w:rsidRDefault="0076677F" w:rsidP="0076677F">
      <w:pPr>
        <w:keepNext/>
        <w:ind w:left="1440"/>
        <w:rPr>
          <w:szCs w:val="22"/>
        </w:rPr>
      </w:pPr>
      <w:r w:rsidRPr="00F11A86">
        <w:rPr>
          <w:rFonts w:eastAsiaTheme="majorEastAsia"/>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r>
        <w:rPr>
          <w:szCs w:val="22"/>
        </w:rPr>
        <w:t>.</w:t>
      </w:r>
    </w:p>
    <w:p w14:paraId="19F4BC26" w14:textId="77777777" w:rsidR="00E54A0C" w:rsidRDefault="00E54A0C">
      <w:pPr>
        <w:spacing w:after="160" w:line="278" w:lineRule="auto"/>
        <w:rPr>
          <w:szCs w:val="22"/>
        </w:rPr>
      </w:pPr>
      <w:r>
        <w:rPr>
          <w:szCs w:val="22"/>
        </w:rPr>
        <w:br w:type="page"/>
      </w:r>
    </w:p>
    <w:p w14:paraId="5CE2C429" w14:textId="77777777" w:rsidR="00E54A0C" w:rsidRPr="001211CF" w:rsidRDefault="00E54A0C" w:rsidP="00E54A0C">
      <w:pPr>
        <w:keepNext/>
        <w:rPr>
          <w:b/>
        </w:rPr>
      </w:pPr>
      <w:r w:rsidRPr="00D84AFC">
        <w:rPr>
          <w:b/>
        </w:rPr>
        <w:lastRenderedPageBreak/>
        <w:t>1</w:t>
      </w:r>
      <w:r>
        <w:rPr>
          <w:b/>
        </w:rPr>
        <w:t>1</w:t>
      </w:r>
      <w:r w:rsidRPr="00D84AFC">
        <w:rPr>
          <w:b/>
        </w:rPr>
        <w:t>.</w:t>
      </w:r>
      <w:r w:rsidRPr="00D84AFC">
        <w:rPr>
          <w:b/>
        </w:rPr>
        <w:tab/>
      </w:r>
      <w:r w:rsidRPr="00083D47">
        <w:rPr>
          <w:b/>
        </w:rPr>
        <w:t>TERMINATION AND SUSPENSION OF AGREEMENT</w:t>
      </w:r>
    </w:p>
    <w:p w14:paraId="028C483E" w14:textId="77777777" w:rsidR="00E54A0C" w:rsidRDefault="00E54A0C" w:rsidP="00E54A0C">
      <w:pPr>
        <w:keepNext/>
        <w:ind w:left="720"/>
      </w:pPr>
      <w:r>
        <w:t>All written notices sent by either Party under this section 11 shall be pursuant to section 12.</w:t>
      </w:r>
    </w:p>
    <w:p w14:paraId="5ABC22DA" w14:textId="77777777" w:rsidR="00E54A0C" w:rsidRPr="004D2FC0" w:rsidRDefault="00E54A0C" w:rsidP="00E54A0C">
      <w:pPr>
        <w:keepNext/>
        <w:ind w:left="1440" w:hanging="720"/>
      </w:pPr>
    </w:p>
    <w:p w14:paraId="7E91E51A" w14:textId="77777777" w:rsidR="00E54A0C" w:rsidRPr="000039A5" w:rsidRDefault="00E54A0C" w:rsidP="00E54A0C">
      <w:pPr>
        <w:keepNext/>
        <w:ind w:left="720"/>
      </w:pPr>
      <w:r w:rsidRPr="000039A5">
        <w:t>1</w:t>
      </w:r>
      <w:r>
        <w:t>1</w:t>
      </w:r>
      <w:r w:rsidRPr="000039A5">
        <w:t>.1</w:t>
      </w:r>
      <w:r w:rsidRPr="000039A5">
        <w:tab/>
      </w:r>
      <w:r w:rsidRPr="000039A5">
        <w:rPr>
          <w:b/>
        </w:rPr>
        <w:t>Termination</w:t>
      </w:r>
      <w:r>
        <w:rPr>
          <w:b/>
        </w:rPr>
        <w:t xml:space="preserve"> of Agreement</w:t>
      </w:r>
    </w:p>
    <w:p w14:paraId="3E0F1A78" w14:textId="77777777" w:rsidR="00E54A0C" w:rsidRPr="000039A5" w:rsidRDefault="00E54A0C" w:rsidP="00E54A0C">
      <w:pPr>
        <w:ind w:left="2160" w:hanging="720"/>
      </w:pPr>
    </w:p>
    <w:p w14:paraId="64774987" w14:textId="77777777" w:rsidR="00E54A0C" w:rsidRDefault="00E54A0C" w:rsidP="00E54A0C">
      <w:pPr>
        <w:ind w:left="2160" w:hanging="720"/>
      </w:pPr>
      <w:r w:rsidRPr="000039A5">
        <w:t>1</w:t>
      </w:r>
      <w:r>
        <w:t>1</w:t>
      </w:r>
      <w:r w:rsidRPr="000039A5">
        <w:t>.1.1</w:t>
      </w:r>
      <w:r w:rsidRPr="001211CF">
        <w:rPr>
          <w:color w:val="FF0000"/>
        </w:rPr>
        <w:tab/>
        <w:t>«Customer Name»</w:t>
      </w:r>
      <w:r w:rsidRPr="001211CF">
        <w:t xml:space="preserve"> may terminate this Agreement by providing BPA with written notice within 30 </w:t>
      </w:r>
      <w:r>
        <w:t xml:space="preserve">calendar </w:t>
      </w:r>
      <w:r w:rsidRPr="001211CF">
        <w:t xml:space="preserve">days following </w:t>
      </w:r>
      <w:r>
        <w:t>BPA’s</w:t>
      </w:r>
      <w:r w:rsidRPr="001211CF">
        <w:t xml:space="preserve"> </w:t>
      </w:r>
      <w:r>
        <w:t xml:space="preserve">issuance of a power rate proceeding Final Record of Decision </w:t>
      </w:r>
      <w:r w:rsidRPr="001211CF">
        <w:t xml:space="preserve">in which the supplemental rate charge provided for in </w:t>
      </w:r>
      <w:r>
        <w:t>S</w:t>
      </w:r>
      <w:r w:rsidRPr="001211CF">
        <w:t xml:space="preserve">ection 7(b)(3) of the Northwest Power Act is applied and causes the PF Exchange rate charged </w:t>
      </w:r>
      <w:r w:rsidRPr="001211CF">
        <w:rPr>
          <w:color w:val="FF0000"/>
        </w:rPr>
        <w:t>«Customer Name»</w:t>
      </w:r>
      <w:r w:rsidRPr="001211CF">
        <w:t xml:space="preserve"> to exceed </w:t>
      </w:r>
      <w:r w:rsidRPr="001211CF">
        <w:rPr>
          <w:color w:val="FF0000"/>
        </w:rPr>
        <w:t>«Customer Name»</w:t>
      </w:r>
      <w:r w:rsidRPr="001211CF">
        <w:t>’s ASC.</w:t>
      </w:r>
      <w:r>
        <w:t xml:space="preserve">  In such instance, termination of this Agreement shall become effective on the effective date for the PF Exchange rate as stated in FERC’s interim approval.</w:t>
      </w:r>
      <w:r w:rsidDel="00F24561">
        <w:t xml:space="preserve"> </w:t>
      </w:r>
    </w:p>
    <w:p w14:paraId="4F4CBB60" w14:textId="77777777" w:rsidR="00E54A0C" w:rsidRPr="001211CF" w:rsidRDefault="00E54A0C" w:rsidP="00E54A0C">
      <w:pPr>
        <w:ind w:left="2160" w:hanging="720"/>
      </w:pPr>
    </w:p>
    <w:p w14:paraId="4DBD2AF7" w14:textId="77777777" w:rsidR="00E54A0C" w:rsidRDefault="00E54A0C" w:rsidP="00E54A0C">
      <w:pPr>
        <w:ind w:left="2160" w:hanging="720"/>
      </w:pPr>
      <w:r>
        <w:t>11.1.2</w:t>
      </w:r>
      <w:r>
        <w:tab/>
      </w:r>
      <w:r w:rsidRPr="001211CF">
        <w:rPr>
          <w:color w:val="FF0000"/>
        </w:rPr>
        <w:t>«Customer Name»</w:t>
      </w:r>
      <w:r w:rsidRPr="001211CF">
        <w:t xml:space="preserve"> may terminate this Agreement </w:t>
      </w:r>
      <w:r>
        <w:t xml:space="preserve">for any other reason than stated in section 11.1.1 </w:t>
      </w:r>
      <w:r w:rsidRPr="001211CF">
        <w:t>by providing BPA with written notice</w:t>
      </w:r>
      <w:r>
        <w:t xml:space="preserve"> </w:t>
      </w:r>
      <w:r w:rsidRPr="001211CF">
        <w:t xml:space="preserve">within 30 days following the </w:t>
      </w:r>
      <w:r>
        <w:t>issuance of a power rate proceeding Final Record of Decision</w:t>
      </w:r>
      <w:r w:rsidRPr="001211CF">
        <w:t>.</w:t>
      </w:r>
      <w:r>
        <w:t xml:space="preserve">  Such termination of the Agreement shall become effective on the effective date for the PF Exchange Rate as stated in FERC’s interim approval.</w:t>
      </w:r>
    </w:p>
    <w:p w14:paraId="6D261E71" w14:textId="77777777" w:rsidR="00E54A0C" w:rsidRDefault="00E54A0C" w:rsidP="00E54A0C">
      <w:pPr>
        <w:ind w:left="2160" w:hanging="720"/>
      </w:pPr>
    </w:p>
    <w:p w14:paraId="6A6AD7A6" w14:textId="77777777" w:rsidR="00E54A0C" w:rsidRDefault="00E54A0C" w:rsidP="00E54A0C">
      <w:pPr>
        <w:ind w:left="2160" w:hanging="720"/>
      </w:pPr>
      <w:r>
        <w:t>11.1.3  Upon</w:t>
      </w:r>
      <w:r w:rsidRPr="001211CF">
        <w:t xml:space="preserve"> termination of this Agreement pursuant to </w:t>
      </w:r>
      <w:r>
        <w:t>section 11</w:t>
      </w:r>
      <w:r w:rsidRPr="00351FE3">
        <w:t xml:space="preserve">.1.1 or </w:t>
      </w:r>
      <w:r>
        <w:t>11</w:t>
      </w:r>
      <w:r w:rsidRPr="00351FE3">
        <w:t>.1.2,</w:t>
      </w:r>
      <w:r w:rsidRPr="001211CF">
        <w:t xml:space="preserve"> </w:t>
      </w:r>
      <w:r w:rsidRPr="001211CF">
        <w:rPr>
          <w:color w:val="FF0000"/>
        </w:rPr>
        <w:t>«Customer Name»</w:t>
      </w:r>
      <w:r>
        <w:rPr>
          <w:color w:val="FF0000"/>
        </w:rPr>
        <w:t xml:space="preserve"> </w:t>
      </w:r>
      <w:r w:rsidRPr="001211CF">
        <w:t xml:space="preserve">shall not participate in the Residential Exchange Program established in </w:t>
      </w:r>
      <w:r>
        <w:t>Section </w:t>
      </w:r>
      <w:r w:rsidRPr="001211CF">
        <w:t xml:space="preserve">5(c) of the Northwest Power Act until </w:t>
      </w:r>
      <w:r>
        <w:t xml:space="preserve">the following two conditions are met: </w:t>
      </w:r>
    </w:p>
    <w:p w14:paraId="1FDFEC39" w14:textId="77777777" w:rsidR="00E54A0C" w:rsidRDefault="00E54A0C" w:rsidP="00E54A0C">
      <w:pPr>
        <w:ind w:left="2160" w:hanging="720"/>
      </w:pPr>
    </w:p>
    <w:p w14:paraId="6C761647" w14:textId="77777777" w:rsidR="00E54A0C" w:rsidRDefault="00E54A0C" w:rsidP="00E54A0C">
      <w:pPr>
        <w:pStyle w:val="ListParagraph"/>
        <w:numPr>
          <w:ilvl w:val="0"/>
          <w:numId w:val="2"/>
        </w:numPr>
        <w:contextualSpacing w:val="0"/>
      </w:pPr>
      <w:r w:rsidRPr="00351FE3">
        <w:rPr>
          <w:color w:val="EE0000"/>
        </w:rPr>
        <w:t xml:space="preserve">«Customer Name» </w:t>
      </w:r>
      <w:r w:rsidRPr="00D24D16">
        <w:t>executes a new Residential Purchase and Sale Agreement (RPSA) with BPA; and</w:t>
      </w:r>
    </w:p>
    <w:p w14:paraId="09419E41" w14:textId="77777777" w:rsidR="00E54A0C" w:rsidRDefault="00E54A0C" w:rsidP="00E54A0C">
      <w:pPr>
        <w:pStyle w:val="ListParagraph"/>
        <w:ind w:left="3240"/>
      </w:pPr>
    </w:p>
    <w:p w14:paraId="3560CBDA" w14:textId="77777777" w:rsidR="00E54A0C" w:rsidRDefault="00E54A0C" w:rsidP="00E54A0C">
      <w:pPr>
        <w:pStyle w:val="ListParagraph"/>
        <w:numPr>
          <w:ilvl w:val="0"/>
          <w:numId w:val="2"/>
        </w:numPr>
        <w:contextualSpacing w:val="0"/>
      </w:pPr>
      <w:r w:rsidRPr="00351FE3">
        <w:rPr>
          <w:color w:val="EE0000"/>
        </w:rPr>
        <w:t xml:space="preserve">«Customer Name» </w:t>
      </w:r>
      <w:r w:rsidRPr="00D24D16">
        <w:t xml:space="preserve">files an Informational Filing Appendix 1 pursuant to the ASCM in the year prior to the ASC Review Process for the Exchange Period when the </w:t>
      </w:r>
      <w:r>
        <w:t>Purchase and Exchange Sales</w:t>
      </w:r>
      <w:r w:rsidRPr="00D24D16" w:rsidDel="00140109">
        <w:t xml:space="preserve"> </w:t>
      </w:r>
      <w:r w:rsidRPr="00D24D16">
        <w:t>will occur.</w:t>
      </w:r>
    </w:p>
    <w:p w14:paraId="5D79326D" w14:textId="77777777" w:rsidR="00E54A0C" w:rsidRDefault="00E54A0C" w:rsidP="00E54A0C">
      <w:pPr>
        <w:pStyle w:val="ListParagraph"/>
      </w:pPr>
    </w:p>
    <w:p w14:paraId="0D905D56" w14:textId="77777777" w:rsidR="00E54A0C" w:rsidRPr="00D24D16" w:rsidRDefault="00E54A0C" w:rsidP="00E54A0C">
      <w:pPr>
        <w:ind w:left="1440" w:firstLine="720"/>
      </w:pPr>
      <w:r w:rsidRPr="00D24D16">
        <w:t xml:space="preserve">This </w:t>
      </w:r>
      <w:r>
        <w:t>s</w:t>
      </w:r>
      <w:r w:rsidRPr="00D24D16">
        <w:t>ection 1</w:t>
      </w:r>
      <w:r>
        <w:t>1</w:t>
      </w:r>
      <w:r w:rsidRPr="00D24D16">
        <w:t>.1.3 will survive termination of this Agreement.</w:t>
      </w:r>
    </w:p>
    <w:p w14:paraId="765968A2" w14:textId="77777777" w:rsidR="00E54A0C" w:rsidRDefault="00E54A0C" w:rsidP="00E54A0C"/>
    <w:p w14:paraId="5F0FF820" w14:textId="77777777" w:rsidR="00E54A0C" w:rsidRPr="000039A5" w:rsidRDefault="00E54A0C" w:rsidP="00E54A0C">
      <w:pPr>
        <w:ind w:left="720"/>
      </w:pPr>
      <w:r w:rsidRPr="000039A5">
        <w:t>1</w:t>
      </w:r>
      <w:r>
        <w:t>1</w:t>
      </w:r>
      <w:r w:rsidRPr="000039A5">
        <w:t>.2</w:t>
      </w:r>
      <w:r w:rsidRPr="000039A5">
        <w:tab/>
      </w:r>
      <w:r w:rsidRPr="000039A5">
        <w:rPr>
          <w:b/>
        </w:rPr>
        <w:t>Suspension</w:t>
      </w:r>
      <w:r>
        <w:rPr>
          <w:b/>
        </w:rPr>
        <w:t xml:space="preserve"> of Performance</w:t>
      </w:r>
    </w:p>
    <w:p w14:paraId="02AEC569" w14:textId="77777777" w:rsidR="00E54A0C" w:rsidRDefault="00E54A0C" w:rsidP="00E54A0C">
      <w:pPr>
        <w:ind w:left="1440"/>
      </w:pPr>
      <w:r w:rsidRPr="00D7382C">
        <w:t xml:space="preserve">The </w:t>
      </w:r>
      <w:r>
        <w:t>Purchase and Exchange Sale</w:t>
      </w:r>
      <w:r w:rsidDel="00140109">
        <w:t xml:space="preserve"> </w:t>
      </w:r>
      <w:r>
        <w:t xml:space="preserve">under this Agreement will automatically suspend whenever the applicable PF Exchange Rate equals or exceeds </w:t>
      </w:r>
      <w:r w:rsidRPr="001211CF">
        <w:rPr>
          <w:color w:val="FF0000"/>
        </w:rPr>
        <w:t>«Customer Name»</w:t>
      </w:r>
      <w:r>
        <w:t>’s Average System Cost.</w:t>
      </w:r>
      <w:r w:rsidRPr="00515261">
        <w:t xml:space="preserve"> </w:t>
      </w:r>
      <w:r>
        <w:t xml:space="preserve"> Such suspension shall suspend the rights and obligations of both Parties to pay or receive Cost Benefits for the Exchange Period pursuant to section 5, and to engage in In-Lieu power sales pursuant to section 9.</w:t>
      </w:r>
    </w:p>
    <w:p w14:paraId="05D80233" w14:textId="77777777" w:rsidR="00E54A0C" w:rsidRDefault="00E54A0C" w:rsidP="00E54A0C">
      <w:pPr>
        <w:ind w:left="1440"/>
      </w:pPr>
    </w:p>
    <w:p w14:paraId="01924EEE" w14:textId="4AD902B8" w:rsidR="000152CB" w:rsidRDefault="00E54A0C" w:rsidP="00E54A0C">
      <w:pPr>
        <w:keepNext/>
        <w:ind w:left="1440"/>
      </w:pPr>
      <w:r>
        <w:t xml:space="preserve">Under such a suspension, all other obligations under this Agreement shall remain in effect.  </w:t>
      </w:r>
      <w:r w:rsidRPr="001211CF">
        <w:rPr>
          <w:color w:val="FF0000"/>
        </w:rPr>
        <w:t>«Customer Name»</w:t>
      </w:r>
      <w:r w:rsidRPr="00351FE3">
        <w:t xml:space="preserve"> </w:t>
      </w:r>
      <w:r>
        <w:t>shall</w:t>
      </w:r>
      <w:r w:rsidRPr="00351FE3">
        <w:t xml:space="preserve"> </w:t>
      </w:r>
      <w:r w:rsidRPr="00D7382C">
        <w:t>continue to participate in all RPSA administrative activities during the suspended Exchange Period, including filing Informational Filing ASCs and audits.</w:t>
      </w:r>
    </w:p>
    <w:sectPr w:rsidR="000152CB" w:rsidSect="005743A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8D28" w14:textId="77777777" w:rsidR="005743A9" w:rsidRDefault="005743A9" w:rsidP="005743A9">
      <w:r>
        <w:separator/>
      </w:r>
    </w:p>
  </w:endnote>
  <w:endnote w:type="continuationSeparator" w:id="0">
    <w:p w14:paraId="22F55BB2" w14:textId="77777777" w:rsidR="005743A9" w:rsidRDefault="005743A9" w:rsidP="005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83BD" w14:textId="0A8754B6" w:rsidR="005743A9" w:rsidRDefault="005743A9" w:rsidP="005743A9">
    <w:pPr>
      <w:pStyle w:val="Footer"/>
      <w:jc w:val="right"/>
    </w:pPr>
    <w:r>
      <w:t xml:space="preserve">Phase 2 Post-2028 RPSA Development Process </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55C1" w14:textId="77777777" w:rsidR="005743A9" w:rsidRDefault="005743A9" w:rsidP="005743A9">
      <w:r>
        <w:separator/>
      </w:r>
    </w:p>
  </w:footnote>
  <w:footnote w:type="continuationSeparator" w:id="0">
    <w:p w14:paraId="473CD121" w14:textId="77777777" w:rsidR="005743A9" w:rsidRDefault="005743A9" w:rsidP="0057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F6B69"/>
    <w:multiLevelType w:val="hybridMultilevel"/>
    <w:tmpl w:val="77F8F070"/>
    <w:lvl w:ilvl="0" w:tplc="C87029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34B4D9B"/>
    <w:multiLevelType w:val="hybridMultilevel"/>
    <w:tmpl w:val="5038C3E4"/>
    <w:lvl w:ilvl="0" w:tplc="AEDE2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43148611">
    <w:abstractNumId w:val="1"/>
  </w:num>
  <w:num w:numId="2" w16cid:durableId="59686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67"/>
    <w:rsid w:val="000152CB"/>
    <w:rsid w:val="000545AC"/>
    <w:rsid w:val="0008354E"/>
    <w:rsid w:val="00083A5E"/>
    <w:rsid w:val="000947C8"/>
    <w:rsid w:val="000B7582"/>
    <w:rsid w:val="001100F1"/>
    <w:rsid w:val="001B3D41"/>
    <w:rsid w:val="001D5C98"/>
    <w:rsid w:val="00214887"/>
    <w:rsid w:val="002229D0"/>
    <w:rsid w:val="00227698"/>
    <w:rsid w:val="00262E6F"/>
    <w:rsid w:val="00294AC0"/>
    <w:rsid w:val="002F46E1"/>
    <w:rsid w:val="00310B22"/>
    <w:rsid w:val="003421C6"/>
    <w:rsid w:val="00374192"/>
    <w:rsid w:val="003E4E4A"/>
    <w:rsid w:val="00442AC8"/>
    <w:rsid w:val="0046397E"/>
    <w:rsid w:val="004911AF"/>
    <w:rsid w:val="00496DCA"/>
    <w:rsid w:val="004A34C6"/>
    <w:rsid w:val="004F7A23"/>
    <w:rsid w:val="005675C2"/>
    <w:rsid w:val="005743A9"/>
    <w:rsid w:val="005E5A2C"/>
    <w:rsid w:val="00610156"/>
    <w:rsid w:val="006F74E8"/>
    <w:rsid w:val="007536CB"/>
    <w:rsid w:val="0076677F"/>
    <w:rsid w:val="00772A66"/>
    <w:rsid w:val="007C599E"/>
    <w:rsid w:val="007C708B"/>
    <w:rsid w:val="00833C65"/>
    <w:rsid w:val="008411FB"/>
    <w:rsid w:val="00854343"/>
    <w:rsid w:val="008F0E3F"/>
    <w:rsid w:val="008F53FE"/>
    <w:rsid w:val="0091703A"/>
    <w:rsid w:val="00935C1E"/>
    <w:rsid w:val="00940EC3"/>
    <w:rsid w:val="00974F8E"/>
    <w:rsid w:val="00BA23AF"/>
    <w:rsid w:val="00C05DA2"/>
    <w:rsid w:val="00C54FCD"/>
    <w:rsid w:val="00C65459"/>
    <w:rsid w:val="00C707FE"/>
    <w:rsid w:val="00CB23D0"/>
    <w:rsid w:val="00CC3BC4"/>
    <w:rsid w:val="00CD78DC"/>
    <w:rsid w:val="00D11E32"/>
    <w:rsid w:val="00D72104"/>
    <w:rsid w:val="00D8590B"/>
    <w:rsid w:val="00E26897"/>
    <w:rsid w:val="00E37DF7"/>
    <w:rsid w:val="00E54A0C"/>
    <w:rsid w:val="00E75A57"/>
    <w:rsid w:val="00E908AC"/>
    <w:rsid w:val="00EB2693"/>
    <w:rsid w:val="00EB3426"/>
    <w:rsid w:val="00ED7566"/>
    <w:rsid w:val="00EE4489"/>
    <w:rsid w:val="00F35467"/>
    <w:rsid w:val="00F463C4"/>
    <w:rsid w:val="00F67489"/>
    <w:rsid w:val="00FB4D9E"/>
    <w:rsid w:val="00FB7747"/>
    <w:rsid w:val="00FD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1987"/>
  <w15:chartTrackingRefBased/>
  <w15:docId w15:val="{40E5AB48-C2AC-43E6-B0AE-81883159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67"/>
    <w:pPr>
      <w:spacing w:after="0" w:line="240" w:lineRule="auto"/>
    </w:pPr>
    <w:rPr>
      <w:rFonts w:ascii="Century Schoolbook" w:eastAsia="Times New Roman" w:hAnsi="Century Schoolbook" w:cs="Times New Roman"/>
      <w:kern w:val="0"/>
      <w:sz w:val="22"/>
      <w:szCs w:val="20"/>
      <w14:ligatures w14:val="none"/>
    </w:rPr>
  </w:style>
  <w:style w:type="paragraph" w:styleId="Heading1">
    <w:name w:val="heading 1"/>
    <w:basedOn w:val="Normal"/>
    <w:next w:val="Normal"/>
    <w:link w:val="Heading1Char"/>
    <w:uiPriority w:val="9"/>
    <w:qFormat/>
    <w:rsid w:val="00F35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4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4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4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4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467"/>
    <w:rPr>
      <w:rFonts w:eastAsiaTheme="majorEastAsia" w:cstheme="majorBidi"/>
      <w:color w:val="272727" w:themeColor="text1" w:themeTint="D8"/>
    </w:rPr>
  </w:style>
  <w:style w:type="paragraph" w:styleId="Title">
    <w:name w:val="Title"/>
    <w:basedOn w:val="Normal"/>
    <w:next w:val="Normal"/>
    <w:link w:val="TitleChar"/>
    <w:uiPriority w:val="10"/>
    <w:qFormat/>
    <w:rsid w:val="00F354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467"/>
    <w:pPr>
      <w:spacing w:before="160"/>
      <w:jc w:val="center"/>
    </w:pPr>
    <w:rPr>
      <w:i/>
      <w:iCs/>
      <w:color w:val="404040" w:themeColor="text1" w:themeTint="BF"/>
    </w:rPr>
  </w:style>
  <w:style w:type="character" w:customStyle="1" w:styleId="QuoteChar">
    <w:name w:val="Quote Char"/>
    <w:basedOn w:val="DefaultParagraphFont"/>
    <w:link w:val="Quote"/>
    <w:uiPriority w:val="29"/>
    <w:rsid w:val="00F35467"/>
    <w:rPr>
      <w:i/>
      <w:iCs/>
      <w:color w:val="404040" w:themeColor="text1" w:themeTint="BF"/>
    </w:rPr>
  </w:style>
  <w:style w:type="paragraph" w:styleId="ListParagraph">
    <w:name w:val="List Paragraph"/>
    <w:basedOn w:val="Normal"/>
    <w:uiPriority w:val="34"/>
    <w:qFormat/>
    <w:rsid w:val="00F35467"/>
    <w:pPr>
      <w:ind w:left="720"/>
      <w:contextualSpacing/>
    </w:pPr>
  </w:style>
  <w:style w:type="character" w:styleId="IntenseEmphasis">
    <w:name w:val="Intense Emphasis"/>
    <w:basedOn w:val="DefaultParagraphFont"/>
    <w:uiPriority w:val="21"/>
    <w:qFormat/>
    <w:rsid w:val="00F35467"/>
    <w:rPr>
      <w:i/>
      <w:iCs/>
      <w:color w:val="0F4761" w:themeColor="accent1" w:themeShade="BF"/>
    </w:rPr>
  </w:style>
  <w:style w:type="paragraph" w:styleId="IntenseQuote">
    <w:name w:val="Intense Quote"/>
    <w:basedOn w:val="Normal"/>
    <w:next w:val="Normal"/>
    <w:link w:val="IntenseQuoteChar"/>
    <w:uiPriority w:val="30"/>
    <w:qFormat/>
    <w:rsid w:val="00F35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467"/>
    <w:rPr>
      <w:i/>
      <w:iCs/>
      <w:color w:val="0F4761" w:themeColor="accent1" w:themeShade="BF"/>
    </w:rPr>
  </w:style>
  <w:style w:type="character" w:styleId="IntenseReference">
    <w:name w:val="Intense Reference"/>
    <w:basedOn w:val="DefaultParagraphFont"/>
    <w:uiPriority w:val="32"/>
    <w:qFormat/>
    <w:rsid w:val="00F35467"/>
    <w:rPr>
      <w:b/>
      <w:bCs/>
      <w:smallCaps/>
      <w:color w:val="0F4761" w:themeColor="accent1" w:themeShade="BF"/>
      <w:spacing w:val="5"/>
    </w:rPr>
  </w:style>
  <w:style w:type="paragraph" w:styleId="BodyTextIndent3">
    <w:name w:val="Body Text Indent 3"/>
    <w:basedOn w:val="Normal"/>
    <w:link w:val="BodyTextIndent3Char"/>
    <w:rsid w:val="00F35467"/>
    <w:pPr>
      <w:ind w:left="720"/>
    </w:pPr>
  </w:style>
  <w:style w:type="character" w:customStyle="1" w:styleId="BodyTextIndent3Char">
    <w:name w:val="Body Text Indent 3 Char"/>
    <w:basedOn w:val="DefaultParagraphFont"/>
    <w:link w:val="BodyTextIndent3"/>
    <w:rsid w:val="00F35467"/>
    <w:rPr>
      <w:rFonts w:ascii="Century Schoolbook" w:eastAsia="Times New Roman" w:hAnsi="Century Schoolbook" w:cs="Times New Roman"/>
      <w:kern w:val="0"/>
      <w:sz w:val="22"/>
      <w:szCs w:val="20"/>
      <w14:ligatures w14:val="none"/>
    </w:rPr>
  </w:style>
  <w:style w:type="character" w:styleId="CommentReference">
    <w:name w:val="annotation reference"/>
    <w:uiPriority w:val="99"/>
    <w:semiHidden/>
    <w:rsid w:val="00F35467"/>
    <w:rPr>
      <w:sz w:val="16"/>
      <w:szCs w:val="16"/>
    </w:rPr>
  </w:style>
  <w:style w:type="paragraph" w:styleId="CommentText">
    <w:name w:val="annotation text"/>
    <w:basedOn w:val="Normal"/>
    <w:link w:val="CommentTextChar"/>
    <w:uiPriority w:val="99"/>
    <w:rsid w:val="00F35467"/>
    <w:rPr>
      <w:sz w:val="20"/>
    </w:rPr>
  </w:style>
  <w:style w:type="character" w:customStyle="1" w:styleId="CommentTextChar">
    <w:name w:val="Comment Text Char"/>
    <w:basedOn w:val="DefaultParagraphFont"/>
    <w:link w:val="CommentText"/>
    <w:uiPriority w:val="99"/>
    <w:rsid w:val="00F35467"/>
    <w:rPr>
      <w:rFonts w:ascii="Century Schoolbook" w:eastAsia="Times New Roman" w:hAnsi="Century Schoolbook" w:cs="Times New Roman"/>
      <w:kern w:val="0"/>
      <w:sz w:val="20"/>
      <w:szCs w:val="20"/>
      <w14:ligatures w14:val="none"/>
    </w:rPr>
  </w:style>
  <w:style w:type="paragraph" w:customStyle="1" w:styleId="BodyText21">
    <w:name w:val="Body Text 21"/>
    <w:basedOn w:val="Normal"/>
    <w:rsid w:val="00974F8E"/>
    <w:pPr>
      <w:ind w:left="1440" w:hanging="720"/>
    </w:pPr>
  </w:style>
  <w:style w:type="paragraph" w:styleId="Header">
    <w:name w:val="header"/>
    <w:basedOn w:val="Normal"/>
    <w:link w:val="HeaderChar"/>
    <w:uiPriority w:val="99"/>
    <w:unhideWhenUsed/>
    <w:rsid w:val="005743A9"/>
    <w:pPr>
      <w:tabs>
        <w:tab w:val="center" w:pos="4680"/>
        <w:tab w:val="right" w:pos="9360"/>
      </w:tabs>
    </w:pPr>
  </w:style>
  <w:style w:type="character" w:customStyle="1" w:styleId="HeaderChar">
    <w:name w:val="Header Char"/>
    <w:basedOn w:val="DefaultParagraphFont"/>
    <w:link w:val="Header"/>
    <w:uiPriority w:val="99"/>
    <w:rsid w:val="005743A9"/>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unhideWhenUsed/>
    <w:rsid w:val="005743A9"/>
    <w:pPr>
      <w:tabs>
        <w:tab w:val="center" w:pos="4680"/>
        <w:tab w:val="right" w:pos="9360"/>
      </w:tabs>
    </w:pPr>
  </w:style>
  <w:style w:type="character" w:customStyle="1" w:styleId="FooterChar">
    <w:name w:val="Footer Char"/>
    <w:basedOn w:val="DefaultParagraphFont"/>
    <w:link w:val="Footer"/>
    <w:uiPriority w:val="99"/>
    <w:rsid w:val="005743A9"/>
    <w:rPr>
      <w:rFonts w:ascii="Century Schoolbook" w:eastAsia="Times New Roman" w:hAnsi="Century Schoolbook" w:cs="Times New Roman"/>
      <w:kern w:val="0"/>
      <w:sz w:val="22"/>
      <w:szCs w:val="20"/>
      <w14:ligatures w14:val="none"/>
    </w:rPr>
  </w:style>
  <w:style w:type="paragraph" w:styleId="Revision">
    <w:name w:val="Revision"/>
    <w:hidden/>
    <w:uiPriority w:val="99"/>
    <w:semiHidden/>
    <w:rsid w:val="00E908AC"/>
    <w:pPr>
      <w:spacing w:after="0" w:line="240" w:lineRule="auto"/>
    </w:pPr>
    <w:rPr>
      <w:rFonts w:ascii="Century Schoolbook" w:eastAsia="Times New Roman" w:hAnsi="Century Schoolbook"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8" ma:contentTypeDescription="Create a new document." ma:contentTypeScope="" ma:versionID="394624dabbf2e1da214d4c8f39a9a3db">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05071-9BC0-4441-BFCB-B8BB7F81D24C}">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2347711-BB91-400E-AF91-77FBE2AD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70E649-A023-4D8F-A91E-DD8770673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Robinson,Aimee K (BPA) - PSRF-6</dc:creator>
  <cp:keywords/>
  <dc:description/>
  <cp:lastModifiedBy>Cornejo,Paulina (BPA) - PSRF-6</cp:lastModifiedBy>
  <cp:revision>2</cp:revision>
  <dcterms:created xsi:type="dcterms:W3CDTF">2025-09-09T05:42:00Z</dcterms:created>
  <dcterms:modified xsi:type="dcterms:W3CDTF">2025-09-09T05:42:00Z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0x010100BD6E24FC16C59A4B9B2D927B94657A16</vt:lpwstr>
  </property>
</Properties>
</file>