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98DA2" w14:textId="4AFD8389" w:rsidR="00D11015" w:rsidRPr="00513564" w:rsidRDefault="00A4324F" w:rsidP="00D11015">
      <w:pPr>
        <w:rPr>
          <w:rFonts w:ascii="Calibri" w:hAnsi="Calibri" w:cs="Calibri"/>
          <w:b/>
          <w:bCs/>
          <w:color w:val="000000"/>
        </w:rPr>
      </w:pPr>
      <w:r>
        <w:rPr>
          <w:rFonts w:ascii="Calibri" w:hAnsi="Calibri" w:cs="Calibri"/>
          <w:b/>
          <w:bCs/>
          <w:color w:val="000000"/>
        </w:rPr>
        <w:t>NLSL Group Comments on the November 28</w:t>
      </w:r>
      <w:r w:rsidRPr="00A4324F">
        <w:rPr>
          <w:rFonts w:ascii="Calibri" w:hAnsi="Calibri" w:cs="Calibri"/>
          <w:b/>
          <w:bCs/>
          <w:color w:val="000000"/>
          <w:vertAlign w:val="superscript"/>
        </w:rPr>
        <w:t>th</w:t>
      </w:r>
      <w:r>
        <w:rPr>
          <w:rFonts w:ascii="Calibri" w:hAnsi="Calibri" w:cs="Calibri"/>
          <w:b/>
          <w:bCs/>
          <w:color w:val="000000"/>
        </w:rPr>
        <w:t xml:space="preserve"> RP-24 Workshop</w:t>
      </w:r>
    </w:p>
    <w:p w14:paraId="5B14D58D" w14:textId="77777777" w:rsidR="00D11015" w:rsidRPr="00DD0154" w:rsidRDefault="00D11015" w:rsidP="00D11015">
      <w:pPr>
        <w:rPr>
          <w:rFonts w:ascii="Calibri" w:hAnsi="Calibri" w:cs="Calibri"/>
          <w:color w:val="000000"/>
        </w:rPr>
      </w:pPr>
    </w:p>
    <w:p w14:paraId="179E8980" w14:textId="163EF332" w:rsidR="00D7237E" w:rsidRDefault="00D11015" w:rsidP="007F6F0A">
      <w:pPr>
        <w:rPr>
          <w:rFonts w:ascii="Calibri" w:hAnsi="Calibri" w:cs="Calibri"/>
          <w:color w:val="000000"/>
        </w:rPr>
      </w:pPr>
      <w:r w:rsidRPr="00DD0154">
        <w:rPr>
          <w:rFonts w:ascii="Calibri" w:hAnsi="Calibri" w:cs="Calibri"/>
          <w:color w:val="000000"/>
        </w:rPr>
        <w:t>The NLSL Group</w:t>
      </w:r>
      <w:r w:rsidRPr="00DD0154">
        <w:rPr>
          <w:rStyle w:val="FootnoteReference"/>
          <w:rFonts w:ascii="Calibri" w:hAnsi="Calibri" w:cs="Calibri"/>
          <w:color w:val="000000"/>
        </w:rPr>
        <w:footnoteReference w:id="1"/>
      </w:r>
      <w:r w:rsidRPr="00DD0154">
        <w:rPr>
          <w:rFonts w:ascii="Calibri" w:hAnsi="Calibri" w:cs="Calibri"/>
          <w:color w:val="000000"/>
        </w:rPr>
        <w:t xml:space="preserve"> </w:t>
      </w:r>
      <w:r w:rsidR="00D7237E">
        <w:rPr>
          <w:rFonts w:ascii="Calibri" w:hAnsi="Calibri" w:cs="Calibri"/>
          <w:color w:val="000000"/>
        </w:rPr>
        <w:t xml:space="preserve">is closely following BPA’s current Resource Program (RP24) stakeholder process and, given the magnitude of expected load growth, believes that resource acquisition decisions made by BPA and customers over the next several years are the most critical decisions that have faced the region for the past couple decades.  Members of the NLSL Group are experiencing unprecedented requests from </w:t>
      </w:r>
      <w:r w:rsidR="00EB1048">
        <w:rPr>
          <w:rFonts w:ascii="Calibri" w:hAnsi="Calibri" w:cs="Calibri"/>
          <w:color w:val="000000"/>
        </w:rPr>
        <w:t>developers that would like to locate large loads that would qualify as NLSL</w:t>
      </w:r>
      <w:r w:rsidR="00366C30">
        <w:rPr>
          <w:rFonts w:ascii="Calibri" w:hAnsi="Calibri" w:cs="Calibri"/>
          <w:color w:val="000000"/>
        </w:rPr>
        <w:t>s</w:t>
      </w:r>
      <w:r w:rsidR="00EB1048">
        <w:rPr>
          <w:rFonts w:ascii="Calibri" w:hAnsi="Calibri" w:cs="Calibri"/>
          <w:color w:val="000000"/>
        </w:rPr>
        <w:t xml:space="preserve"> within their service territory, but it is unclear how these loads can be served given changes in the energy markets, BPA’s post-2028 power products, and BPA’s ability to develop transmission solutions for new gener</w:t>
      </w:r>
      <w:r w:rsidR="005327C5">
        <w:rPr>
          <w:rFonts w:ascii="Calibri" w:hAnsi="Calibri" w:cs="Calibri"/>
          <w:color w:val="000000"/>
        </w:rPr>
        <w:t>ating resources</w:t>
      </w:r>
      <w:r w:rsidR="00EB1048">
        <w:rPr>
          <w:rFonts w:ascii="Calibri" w:hAnsi="Calibri" w:cs="Calibri"/>
          <w:color w:val="000000"/>
        </w:rPr>
        <w:t xml:space="preserve">.  The NLSL Group believes that RP-24 is an opportunity to develop a collaborative process between BPA and customers who will have a need to acquire resources for load that is not </w:t>
      </w:r>
      <w:r w:rsidR="00460DF3">
        <w:rPr>
          <w:rFonts w:ascii="Calibri" w:hAnsi="Calibri" w:cs="Calibri"/>
          <w:color w:val="000000"/>
        </w:rPr>
        <w:t>met</w:t>
      </w:r>
      <w:r w:rsidR="00EB1048">
        <w:rPr>
          <w:rFonts w:ascii="Calibri" w:hAnsi="Calibri" w:cs="Calibri"/>
          <w:color w:val="000000"/>
        </w:rPr>
        <w:t xml:space="preserve"> by BPA’s post-2028 contracts and offers these comments on NLSL issues related to </w:t>
      </w:r>
      <w:r w:rsidR="00366C30">
        <w:rPr>
          <w:rFonts w:ascii="Calibri" w:hAnsi="Calibri" w:cs="Calibri"/>
          <w:color w:val="000000"/>
        </w:rPr>
        <w:t>the November 28</w:t>
      </w:r>
      <w:r w:rsidR="00366C30" w:rsidRPr="00366C30">
        <w:rPr>
          <w:rFonts w:ascii="Calibri" w:hAnsi="Calibri" w:cs="Calibri"/>
          <w:color w:val="000000"/>
          <w:vertAlign w:val="superscript"/>
        </w:rPr>
        <w:t>th</w:t>
      </w:r>
      <w:r w:rsidR="00366C30">
        <w:rPr>
          <w:rFonts w:ascii="Calibri" w:hAnsi="Calibri" w:cs="Calibri"/>
          <w:color w:val="000000"/>
        </w:rPr>
        <w:t xml:space="preserve"> </w:t>
      </w:r>
      <w:r w:rsidR="00EB1048">
        <w:rPr>
          <w:rFonts w:ascii="Calibri" w:hAnsi="Calibri" w:cs="Calibri"/>
          <w:color w:val="000000"/>
        </w:rPr>
        <w:t>RP-24</w:t>
      </w:r>
      <w:r w:rsidR="00366C30">
        <w:rPr>
          <w:rFonts w:ascii="Calibri" w:hAnsi="Calibri" w:cs="Calibri"/>
          <w:color w:val="000000"/>
        </w:rPr>
        <w:t xml:space="preserve"> workshop</w:t>
      </w:r>
      <w:r w:rsidR="00EB1048">
        <w:rPr>
          <w:rFonts w:ascii="Calibri" w:hAnsi="Calibri" w:cs="Calibri"/>
          <w:color w:val="000000"/>
        </w:rPr>
        <w:t>.</w:t>
      </w:r>
    </w:p>
    <w:p w14:paraId="65E2AC6A" w14:textId="662E41C8" w:rsidR="007F6F0A" w:rsidRPr="00DD0154" w:rsidRDefault="007F6F0A" w:rsidP="007F6F0A">
      <w:pPr>
        <w:rPr>
          <w:rFonts w:ascii="Calibri" w:hAnsi="Calibri" w:cs="Calibri"/>
          <w:color w:val="000000"/>
        </w:rPr>
      </w:pPr>
      <w:r w:rsidRPr="00DD0154">
        <w:rPr>
          <w:rFonts w:ascii="Calibri" w:hAnsi="Calibri" w:cs="Calibri"/>
          <w:color w:val="000000"/>
        </w:rPr>
        <w:t> </w:t>
      </w:r>
    </w:p>
    <w:p w14:paraId="404BDC65" w14:textId="3B156DBD" w:rsidR="00A71511" w:rsidRDefault="00EB1048" w:rsidP="00EB1048">
      <w:pPr>
        <w:rPr>
          <w:rFonts w:ascii="Calibri" w:hAnsi="Calibri" w:cs="Calibri"/>
          <w:b/>
          <w:bCs/>
          <w:color w:val="000000"/>
          <w:u w:val="single"/>
        </w:rPr>
      </w:pPr>
      <w:r>
        <w:rPr>
          <w:rFonts w:ascii="Calibri" w:hAnsi="Calibri" w:cs="Calibri"/>
          <w:b/>
          <w:bCs/>
          <w:color w:val="000000"/>
          <w:u w:val="single"/>
        </w:rPr>
        <w:t>Scale of NLSL Load Growth</w:t>
      </w:r>
    </w:p>
    <w:p w14:paraId="1C842136" w14:textId="77777777" w:rsidR="00EB1048" w:rsidRDefault="00EB1048" w:rsidP="00EB1048">
      <w:pPr>
        <w:rPr>
          <w:rFonts w:ascii="Calibri" w:hAnsi="Calibri" w:cs="Calibri"/>
          <w:b/>
          <w:bCs/>
          <w:color w:val="000000"/>
          <w:u w:val="single"/>
        </w:rPr>
      </w:pPr>
    </w:p>
    <w:p w14:paraId="70043398" w14:textId="10E90A44" w:rsidR="00366C30" w:rsidRDefault="00DB2722" w:rsidP="00EB1048">
      <w:pPr>
        <w:rPr>
          <w:rFonts w:ascii="Calibri" w:hAnsi="Calibri" w:cs="Calibri"/>
          <w:color w:val="000000"/>
        </w:rPr>
      </w:pPr>
      <w:r>
        <w:rPr>
          <w:rFonts w:ascii="Calibri" w:hAnsi="Calibri" w:cs="Calibri"/>
          <w:color w:val="000000"/>
        </w:rPr>
        <w:t>The NLSL Group</w:t>
      </w:r>
      <w:r w:rsidR="00366C30">
        <w:rPr>
          <w:rFonts w:ascii="Calibri" w:hAnsi="Calibri" w:cs="Calibri"/>
          <w:color w:val="000000"/>
        </w:rPr>
        <w:t xml:space="preserve"> is pleased that BPA worked across business lines to develop a range of potential data center load from 2033.  This estimate showed 1.6-5.2 GW of data center load by the time new Provider of Choice </w:t>
      </w:r>
      <w:r w:rsidR="007671E8">
        <w:rPr>
          <w:rFonts w:ascii="Calibri" w:hAnsi="Calibri" w:cs="Calibri"/>
          <w:color w:val="000000"/>
        </w:rPr>
        <w:t xml:space="preserve">(PoC) </w:t>
      </w:r>
      <w:r w:rsidR="00366C30">
        <w:rPr>
          <w:rFonts w:ascii="Calibri" w:hAnsi="Calibri" w:cs="Calibri"/>
          <w:color w:val="000000"/>
        </w:rPr>
        <w:t>contracts go into effect in FY29.  Even though m</w:t>
      </w:r>
      <w:r w:rsidR="00366C30" w:rsidRPr="00366C30">
        <w:rPr>
          <w:rFonts w:ascii="Calibri" w:hAnsi="Calibri" w:cs="Calibri"/>
          <w:color w:val="000000"/>
        </w:rPr>
        <w:t>any potential NLSLs have non-disclosure agreements in place with the prospective utility that make it difficult to share specific estimates with other parties</w:t>
      </w:r>
      <w:r w:rsidR="00366C30">
        <w:rPr>
          <w:rFonts w:ascii="Calibri" w:hAnsi="Calibri" w:cs="Calibri"/>
          <w:color w:val="000000"/>
        </w:rPr>
        <w:t>, the NLSL Group has reason to believe that the amount of data center load is more likely to be in the upper portion of the range rather than the lower portion.</w:t>
      </w:r>
      <w:r w:rsidR="00366C30" w:rsidRPr="00366C30">
        <w:rPr>
          <w:rFonts w:ascii="Calibri" w:hAnsi="Calibri" w:cs="Calibri"/>
          <w:color w:val="000000"/>
        </w:rPr>
        <w:t xml:space="preserve">  </w:t>
      </w:r>
      <w:r w:rsidR="003E3337">
        <w:rPr>
          <w:rFonts w:ascii="Calibri" w:hAnsi="Calibri" w:cs="Calibri"/>
          <w:color w:val="000000"/>
        </w:rPr>
        <w:t>In other words, the NLSL Group believes that the midpoint of the estimate, 3.4 GWs</w:t>
      </w:r>
      <w:r w:rsidR="007671E8">
        <w:rPr>
          <w:rFonts w:ascii="Calibri" w:hAnsi="Calibri" w:cs="Calibri"/>
          <w:color w:val="000000"/>
        </w:rPr>
        <w:t xml:space="preserve"> in FY29</w:t>
      </w:r>
      <w:r w:rsidR="003E3337">
        <w:rPr>
          <w:rFonts w:ascii="Calibri" w:hAnsi="Calibri" w:cs="Calibri"/>
          <w:color w:val="000000"/>
        </w:rPr>
        <w:t xml:space="preserve">, is more likely the minimum amount of data center load that can be expected and that </w:t>
      </w:r>
      <w:r w:rsidR="00F12A79">
        <w:rPr>
          <w:rFonts w:ascii="Calibri" w:hAnsi="Calibri" w:cs="Calibri"/>
          <w:color w:val="000000"/>
        </w:rPr>
        <w:t>the</w:t>
      </w:r>
      <w:r w:rsidR="007671E8">
        <w:rPr>
          <w:rFonts w:ascii="Calibri" w:hAnsi="Calibri" w:cs="Calibri"/>
          <w:color w:val="000000"/>
        </w:rPr>
        <w:t>se</w:t>
      </w:r>
      <w:r w:rsidR="00F12A79">
        <w:rPr>
          <w:rFonts w:ascii="Calibri" w:hAnsi="Calibri" w:cs="Calibri"/>
          <w:color w:val="000000"/>
        </w:rPr>
        <w:t xml:space="preserve"> midpoint estimate</w:t>
      </w:r>
      <w:r w:rsidR="007671E8">
        <w:rPr>
          <w:rFonts w:ascii="Calibri" w:hAnsi="Calibri" w:cs="Calibri"/>
          <w:color w:val="000000"/>
        </w:rPr>
        <w:t>s</w:t>
      </w:r>
      <w:r w:rsidR="003E3337">
        <w:rPr>
          <w:rFonts w:ascii="Calibri" w:hAnsi="Calibri" w:cs="Calibri"/>
          <w:color w:val="000000"/>
        </w:rPr>
        <w:t xml:space="preserve"> should be the base </w:t>
      </w:r>
      <w:r w:rsidR="00F12A79">
        <w:rPr>
          <w:rFonts w:ascii="Calibri" w:hAnsi="Calibri" w:cs="Calibri"/>
          <w:color w:val="000000"/>
        </w:rPr>
        <w:t>assumption for data center load</w:t>
      </w:r>
      <w:r w:rsidR="003E3337">
        <w:rPr>
          <w:rFonts w:ascii="Calibri" w:hAnsi="Calibri" w:cs="Calibri"/>
          <w:color w:val="000000"/>
        </w:rPr>
        <w:t xml:space="preserve"> used for planning purposes.</w:t>
      </w:r>
      <w:r w:rsidR="00F12A79">
        <w:rPr>
          <w:rFonts w:ascii="Calibri" w:hAnsi="Calibri" w:cs="Calibri"/>
          <w:color w:val="000000"/>
        </w:rPr>
        <w:t xml:space="preserve">  Th</w:t>
      </w:r>
      <w:r w:rsidR="007671E8">
        <w:rPr>
          <w:rFonts w:ascii="Calibri" w:hAnsi="Calibri" w:cs="Calibri"/>
          <w:color w:val="000000"/>
        </w:rPr>
        <w:t>ese</w:t>
      </w:r>
      <w:r w:rsidR="00F12A79">
        <w:rPr>
          <w:rFonts w:ascii="Calibri" w:hAnsi="Calibri" w:cs="Calibri"/>
          <w:color w:val="000000"/>
        </w:rPr>
        <w:t xml:space="preserve"> data center midpoint </w:t>
      </w:r>
      <w:r w:rsidR="007671E8">
        <w:rPr>
          <w:rFonts w:ascii="Calibri" w:hAnsi="Calibri" w:cs="Calibri"/>
          <w:color w:val="000000"/>
        </w:rPr>
        <w:t>estimates</w:t>
      </w:r>
      <w:r w:rsidR="00F12A79">
        <w:rPr>
          <w:rFonts w:ascii="Calibri" w:hAnsi="Calibri" w:cs="Calibri"/>
          <w:color w:val="000000"/>
        </w:rPr>
        <w:t xml:space="preserve"> should then be combined with non-data center NLSL estimates </w:t>
      </w:r>
      <w:r w:rsidR="005A3C3E">
        <w:rPr>
          <w:rFonts w:ascii="Calibri" w:hAnsi="Calibri" w:cs="Calibri"/>
          <w:color w:val="000000"/>
        </w:rPr>
        <w:t xml:space="preserve">(e.g., food processing facilities) </w:t>
      </w:r>
      <w:r w:rsidR="00F12A79">
        <w:rPr>
          <w:rFonts w:ascii="Calibri" w:hAnsi="Calibri" w:cs="Calibri"/>
          <w:color w:val="000000"/>
        </w:rPr>
        <w:t xml:space="preserve">to produce a total NLSL </w:t>
      </w:r>
      <w:r w:rsidR="007671E8">
        <w:rPr>
          <w:rFonts w:ascii="Calibri" w:hAnsi="Calibri" w:cs="Calibri"/>
          <w:color w:val="000000"/>
        </w:rPr>
        <w:t>estimate</w:t>
      </w:r>
      <w:r w:rsidR="00F12A79">
        <w:rPr>
          <w:rFonts w:ascii="Calibri" w:hAnsi="Calibri" w:cs="Calibri"/>
          <w:color w:val="000000"/>
        </w:rPr>
        <w:t xml:space="preserve"> that should be incorporated into RP-24.</w:t>
      </w:r>
      <w:r w:rsidR="007671E8">
        <w:rPr>
          <w:rFonts w:ascii="Calibri" w:hAnsi="Calibri" w:cs="Calibri"/>
          <w:color w:val="000000"/>
        </w:rPr>
        <w:t xml:space="preserve">  The NLSL Group would like BPA to provide this data at the next RP-24 workshop.</w:t>
      </w:r>
    </w:p>
    <w:p w14:paraId="5E49319F" w14:textId="77777777" w:rsidR="00366C30" w:rsidRDefault="00366C30" w:rsidP="00EB1048">
      <w:pPr>
        <w:rPr>
          <w:rFonts w:ascii="Calibri" w:hAnsi="Calibri" w:cs="Calibri"/>
          <w:color w:val="000000"/>
        </w:rPr>
      </w:pPr>
    </w:p>
    <w:p w14:paraId="6DA1ABC0" w14:textId="7A01B115" w:rsidR="006859C7" w:rsidRDefault="006859C7" w:rsidP="00EB1048">
      <w:pPr>
        <w:rPr>
          <w:rFonts w:ascii="Calibri" w:hAnsi="Calibri" w:cs="Calibri"/>
          <w:b/>
          <w:bCs/>
          <w:u w:val="single"/>
        </w:rPr>
      </w:pPr>
      <w:r w:rsidRPr="006859C7">
        <w:rPr>
          <w:rFonts w:ascii="Calibri" w:hAnsi="Calibri" w:cs="Calibri"/>
          <w:b/>
          <w:bCs/>
          <w:u w:val="single"/>
        </w:rPr>
        <w:t>NLSL Load Service</w:t>
      </w:r>
    </w:p>
    <w:p w14:paraId="7833B22B" w14:textId="6A2F2751" w:rsidR="006859C7" w:rsidRDefault="00F04FC9" w:rsidP="00EB1048">
      <w:pPr>
        <w:rPr>
          <w:rFonts w:ascii="Calibri" w:hAnsi="Calibri" w:cs="Calibri"/>
        </w:rPr>
      </w:pPr>
      <w:r>
        <w:rPr>
          <w:rFonts w:ascii="Calibri" w:hAnsi="Calibri" w:cs="Calibri"/>
        </w:rPr>
        <w:t>In Regional Dialogue contracts, t</w:t>
      </w:r>
      <w:r w:rsidR="00266187">
        <w:rPr>
          <w:rFonts w:ascii="Calibri" w:hAnsi="Calibri" w:cs="Calibri"/>
        </w:rPr>
        <w:t xml:space="preserve">here are three </w:t>
      </w:r>
      <w:r w:rsidR="00437D72">
        <w:rPr>
          <w:rFonts w:ascii="Calibri" w:hAnsi="Calibri" w:cs="Calibri"/>
        </w:rPr>
        <w:t>options</w:t>
      </w:r>
      <w:r w:rsidR="00266187">
        <w:rPr>
          <w:rFonts w:ascii="Calibri" w:hAnsi="Calibri" w:cs="Calibri"/>
        </w:rPr>
        <w:t xml:space="preserve"> in which </w:t>
      </w:r>
      <w:r w:rsidR="003E3337">
        <w:rPr>
          <w:rFonts w:ascii="Calibri" w:hAnsi="Calibri" w:cs="Calibri"/>
        </w:rPr>
        <w:t xml:space="preserve">an </w:t>
      </w:r>
      <w:r w:rsidR="00266187">
        <w:rPr>
          <w:rFonts w:ascii="Calibri" w:hAnsi="Calibri" w:cs="Calibri"/>
        </w:rPr>
        <w:t>NLSL may be served for load following customers:</w:t>
      </w:r>
    </w:p>
    <w:p w14:paraId="72EA70E2" w14:textId="614C5542" w:rsidR="00266187" w:rsidRDefault="00266187" w:rsidP="00266187">
      <w:pPr>
        <w:pStyle w:val="ListParagraph"/>
        <w:numPr>
          <w:ilvl w:val="0"/>
          <w:numId w:val="13"/>
        </w:numPr>
        <w:rPr>
          <w:rFonts w:ascii="Calibri" w:hAnsi="Calibri" w:cs="Calibri"/>
        </w:rPr>
      </w:pPr>
      <w:r>
        <w:rPr>
          <w:rFonts w:ascii="Calibri" w:hAnsi="Calibri" w:cs="Calibri"/>
        </w:rPr>
        <w:t>By BPA via the New Resources (NR) rate</w:t>
      </w:r>
      <w:r w:rsidR="003E3337">
        <w:rPr>
          <w:rFonts w:ascii="Calibri" w:hAnsi="Calibri" w:cs="Calibri"/>
        </w:rPr>
        <w:t xml:space="preserve"> </w:t>
      </w:r>
    </w:p>
    <w:p w14:paraId="1B8EA0DF" w14:textId="6FF7A123" w:rsidR="00266187" w:rsidRDefault="00266187" w:rsidP="00266187">
      <w:pPr>
        <w:pStyle w:val="ListParagraph"/>
        <w:numPr>
          <w:ilvl w:val="0"/>
          <w:numId w:val="13"/>
        </w:numPr>
        <w:rPr>
          <w:rFonts w:ascii="Calibri" w:hAnsi="Calibri" w:cs="Calibri"/>
        </w:rPr>
      </w:pPr>
      <w:r>
        <w:rPr>
          <w:rFonts w:ascii="Calibri" w:hAnsi="Calibri" w:cs="Calibri"/>
        </w:rPr>
        <w:t>With third-party purchases combined with BPA</w:t>
      </w:r>
      <w:r w:rsidR="00F04FC9">
        <w:rPr>
          <w:rFonts w:ascii="Calibri" w:hAnsi="Calibri" w:cs="Calibri"/>
        </w:rPr>
        <w:t xml:space="preserve"> Power</w:t>
      </w:r>
      <w:r>
        <w:rPr>
          <w:rFonts w:ascii="Calibri" w:hAnsi="Calibri" w:cs="Calibri"/>
        </w:rPr>
        <w:t xml:space="preserve">’s </w:t>
      </w:r>
      <w:r w:rsidR="00F04FC9">
        <w:rPr>
          <w:rFonts w:ascii="Calibri" w:hAnsi="Calibri" w:cs="Calibri"/>
        </w:rPr>
        <w:t xml:space="preserve">(BPAP) </w:t>
      </w:r>
      <w:r>
        <w:rPr>
          <w:rFonts w:ascii="Calibri" w:hAnsi="Calibri" w:cs="Calibri"/>
        </w:rPr>
        <w:t>Energy Shaping Service (ESS)</w:t>
      </w:r>
      <w:r w:rsidR="003E3337">
        <w:rPr>
          <w:rFonts w:ascii="Calibri" w:hAnsi="Calibri" w:cs="Calibri"/>
        </w:rPr>
        <w:t xml:space="preserve"> (energy and capacity charges)</w:t>
      </w:r>
    </w:p>
    <w:p w14:paraId="5836ACB1" w14:textId="6A83CB40" w:rsidR="00437D72" w:rsidRPr="00437D72" w:rsidRDefault="00266187" w:rsidP="00266187">
      <w:pPr>
        <w:pStyle w:val="ListParagraph"/>
        <w:numPr>
          <w:ilvl w:val="0"/>
          <w:numId w:val="13"/>
        </w:numPr>
        <w:rPr>
          <w:rFonts w:ascii="Calibri" w:hAnsi="Calibri" w:cs="Calibri"/>
        </w:rPr>
      </w:pPr>
      <w:r>
        <w:rPr>
          <w:rFonts w:ascii="Calibri" w:hAnsi="Calibri" w:cs="Calibri"/>
        </w:rPr>
        <w:lastRenderedPageBreak/>
        <w:t xml:space="preserve">With non-Federal resources </w:t>
      </w:r>
      <w:r w:rsidR="00A43D57">
        <w:rPr>
          <w:rFonts w:ascii="Calibri" w:hAnsi="Calibri" w:cs="Calibri"/>
        </w:rPr>
        <w:t xml:space="preserve">that may be combined </w:t>
      </w:r>
      <w:r>
        <w:rPr>
          <w:rFonts w:ascii="Calibri" w:hAnsi="Calibri" w:cs="Calibri"/>
        </w:rPr>
        <w:t>with BPA’s NR Resource Flattening Service (NRFS), Resource Shaping Charge (RSC), RSC Adjustment, and ESS</w:t>
      </w:r>
      <w:r w:rsidR="00F04FC9">
        <w:rPr>
          <w:rFonts w:ascii="Calibri" w:hAnsi="Calibri" w:cs="Calibri"/>
        </w:rPr>
        <w:t xml:space="preserve"> as well as Generation Imbalance </w:t>
      </w:r>
      <w:r w:rsidR="001F5739">
        <w:rPr>
          <w:rFonts w:ascii="Calibri" w:hAnsi="Calibri" w:cs="Calibri"/>
        </w:rPr>
        <w:t xml:space="preserve">(GI) </w:t>
      </w:r>
      <w:r w:rsidR="00F04FC9">
        <w:rPr>
          <w:rFonts w:ascii="Calibri" w:hAnsi="Calibri" w:cs="Calibri"/>
        </w:rPr>
        <w:t>charged by BPA Transmission (BPAT).</w:t>
      </w:r>
    </w:p>
    <w:p w14:paraId="51E44A34" w14:textId="00084473" w:rsidR="00266187" w:rsidRDefault="00F04FC9" w:rsidP="00266187">
      <w:pPr>
        <w:rPr>
          <w:rFonts w:ascii="Calibri" w:hAnsi="Calibri" w:cs="Calibri"/>
        </w:rPr>
      </w:pPr>
      <w:r>
        <w:rPr>
          <w:rFonts w:ascii="Calibri" w:hAnsi="Calibri" w:cs="Calibri"/>
        </w:rPr>
        <w:t>Decisions on NLSL load service will include the following considerations:</w:t>
      </w:r>
    </w:p>
    <w:p w14:paraId="14BDD47E" w14:textId="3E85F399" w:rsidR="00F04FC9" w:rsidRDefault="00F04FC9" w:rsidP="00F04FC9">
      <w:pPr>
        <w:pStyle w:val="ListParagraph"/>
        <w:numPr>
          <w:ilvl w:val="0"/>
          <w:numId w:val="14"/>
        </w:numPr>
        <w:rPr>
          <w:rFonts w:ascii="Calibri" w:hAnsi="Calibri" w:cs="Calibri"/>
        </w:rPr>
      </w:pPr>
      <w:r>
        <w:rPr>
          <w:rFonts w:ascii="Calibri" w:hAnsi="Calibri" w:cs="Calibri"/>
        </w:rPr>
        <w:t>Economics of the load service options</w:t>
      </w:r>
    </w:p>
    <w:p w14:paraId="432B0436" w14:textId="275DB34C" w:rsidR="00F04FC9" w:rsidRDefault="00F04FC9" w:rsidP="00F04FC9">
      <w:pPr>
        <w:pStyle w:val="ListParagraph"/>
        <w:ind w:left="720"/>
        <w:rPr>
          <w:rFonts w:ascii="Calibri" w:hAnsi="Calibri" w:cs="Calibri"/>
        </w:rPr>
      </w:pPr>
      <w:r>
        <w:rPr>
          <w:rFonts w:ascii="Calibri" w:hAnsi="Calibri" w:cs="Calibri"/>
        </w:rPr>
        <w:t xml:space="preserve">To date, there have been no NLSLs served by BPA at the NR rate due to the high costs and inability to change contract elections within the 20-year </w:t>
      </w:r>
      <w:r w:rsidR="005327C5">
        <w:rPr>
          <w:rFonts w:ascii="Calibri" w:hAnsi="Calibri" w:cs="Calibri"/>
        </w:rPr>
        <w:t xml:space="preserve">Regional Dialogue </w:t>
      </w:r>
      <w:r>
        <w:rPr>
          <w:rFonts w:ascii="Calibri" w:hAnsi="Calibri" w:cs="Calibri"/>
        </w:rPr>
        <w:t>contract period.  Generally, most NLSLs are served by third-party purchases</w:t>
      </w:r>
      <w:r w:rsidR="003E3337">
        <w:rPr>
          <w:rFonts w:ascii="Calibri" w:hAnsi="Calibri" w:cs="Calibri"/>
        </w:rPr>
        <w:t xml:space="preserve"> (many are from unspecified resources)</w:t>
      </w:r>
      <w:r>
        <w:rPr>
          <w:rFonts w:ascii="Calibri" w:hAnsi="Calibri" w:cs="Calibri"/>
        </w:rPr>
        <w:t xml:space="preserve"> combined with ESS.  However, it is not clear whether there will be market liquidity for long-term block purchases as markets evolve in the West.  It is also not clear how the costs of acquiring non-Federal resources coupled with the layers of BPA integration costs</w:t>
      </w:r>
      <w:r w:rsidR="005327C5">
        <w:rPr>
          <w:rFonts w:ascii="Calibri" w:hAnsi="Calibri" w:cs="Calibri"/>
        </w:rPr>
        <w:t xml:space="preserve">, </w:t>
      </w:r>
      <w:r w:rsidR="009E7B44">
        <w:rPr>
          <w:rFonts w:ascii="Calibri" w:hAnsi="Calibri" w:cs="Calibri"/>
        </w:rPr>
        <w:t xml:space="preserve">an unknown risk of high </w:t>
      </w:r>
      <w:r w:rsidR="003E3337">
        <w:rPr>
          <w:rFonts w:ascii="Calibri" w:hAnsi="Calibri" w:cs="Calibri"/>
        </w:rPr>
        <w:t>Unauthorized Increase (</w:t>
      </w:r>
      <w:r w:rsidR="009E7B44">
        <w:rPr>
          <w:rFonts w:ascii="Calibri" w:hAnsi="Calibri" w:cs="Calibri"/>
        </w:rPr>
        <w:t>UAI</w:t>
      </w:r>
      <w:r w:rsidR="003E3337">
        <w:rPr>
          <w:rFonts w:ascii="Calibri" w:hAnsi="Calibri" w:cs="Calibri"/>
        </w:rPr>
        <w:t>)</w:t>
      </w:r>
      <w:r w:rsidR="009E7B44">
        <w:rPr>
          <w:rFonts w:ascii="Calibri" w:hAnsi="Calibri" w:cs="Calibri"/>
        </w:rPr>
        <w:t xml:space="preserve"> penalties </w:t>
      </w:r>
      <w:r w:rsidR="00581476">
        <w:rPr>
          <w:rFonts w:ascii="Calibri" w:hAnsi="Calibri" w:cs="Calibri"/>
        </w:rPr>
        <w:t xml:space="preserve">and unknown FCRPS supply </w:t>
      </w:r>
      <w:r w:rsidR="005327C5">
        <w:rPr>
          <w:rFonts w:ascii="Calibri" w:hAnsi="Calibri" w:cs="Calibri"/>
        </w:rPr>
        <w:t xml:space="preserve">for integration services </w:t>
      </w:r>
      <w:r w:rsidR="009E7B44">
        <w:rPr>
          <w:rFonts w:ascii="Calibri" w:hAnsi="Calibri" w:cs="Calibri"/>
        </w:rPr>
        <w:t>will compare with the NR rate.</w:t>
      </w:r>
    </w:p>
    <w:p w14:paraId="0E1F6395" w14:textId="44A2E3BF" w:rsidR="00F04FC9" w:rsidRDefault="00F04FC9" w:rsidP="00F04FC9">
      <w:pPr>
        <w:pStyle w:val="ListParagraph"/>
        <w:numPr>
          <w:ilvl w:val="0"/>
          <w:numId w:val="14"/>
        </w:numPr>
        <w:rPr>
          <w:rFonts w:ascii="Calibri" w:hAnsi="Calibri" w:cs="Calibri"/>
        </w:rPr>
      </w:pPr>
      <w:r>
        <w:rPr>
          <w:rFonts w:ascii="Calibri" w:hAnsi="Calibri" w:cs="Calibri"/>
        </w:rPr>
        <w:t>Desire to participate in the Western Resource Adequacy Program</w:t>
      </w:r>
      <w:r w:rsidR="009E7B44">
        <w:rPr>
          <w:rFonts w:ascii="Calibri" w:hAnsi="Calibri" w:cs="Calibri"/>
        </w:rPr>
        <w:t xml:space="preserve"> (WRAP)</w:t>
      </w:r>
    </w:p>
    <w:p w14:paraId="50A8D411" w14:textId="70726CCF" w:rsidR="009E7B44" w:rsidRPr="009E7B44" w:rsidRDefault="009E7B44" w:rsidP="009E7B44">
      <w:pPr>
        <w:ind w:left="720"/>
        <w:rPr>
          <w:rFonts w:ascii="Calibri" w:hAnsi="Calibri" w:cs="Calibri"/>
        </w:rPr>
      </w:pPr>
      <w:r>
        <w:rPr>
          <w:rFonts w:ascii="Calibri" w:hAnsi="Calibri" w:cs="Calibri"/>
        </w:rPr>
        <w:t>Participation in WRAP requires a load responsible entity (LRE) to specify resources that are required to meet peak demand plus a planning reserve margin (PRM).  I</w:t>
      </w:r>
      <w:r w:rsidR="005327C5">
        <w:rPr>
          <w:rFonts w:ascii="Calibri" w:hAnsi="Calibri" w:cs="Calibri"/>
        </w:rPr>
        <w:t>f</w:t>
      </w:r>
      <w:r>
        <w:rPr>
          <w:rFonts w:ascii="Calibri" w:hAnsi="Calibri" w:cs="Calibri"/>
        </w:rPr>
        <w:t xml:space="preserve"> an NLSL elects NR service, </w:t>
      </w:r>
      <w:r w:rsidR="003E3337">
        <w:rPr>
          <w:rFonts w:ascii="Calibri" w:hAnsi="Calibri" w:cs="Calibri"/>
        </w:rPr>
        <w:t xml:space="preserve">our understanding is that </w:t>
      </w:r>
      <w:r>
        <w:rPr>
          <w:rFonts w:ascii="Calibri" w:hAnsi="Calibri" w:cs="Calibri"/>
        </w:rPr>
        <w:t>BPA becomes t</w:t>
      </w:r>
      <w:r w:rsidR="003E3337">
        <w:rPr>
          <w:rFonts w:ascii="Calibri" w:hAnsi="Calibri" w:cs="Calibri"/>
        </w:rPr>
        <w:t>he</w:t>
      </w:r>
      <w:r>
        <w:rPr>
          <w:rFonts w:ascii="Calibri" w:hAnsi="Calibri" w:cs="Calibri"/>
        </w:rPr>
        <w:t xml:space="preserve"> LRE for that load</w:t>
      </w:r>
      <w:r w:rsidR="003E3337">
        <w:rPr>
          <w:rFonts w:ascii="Calibri" w:hAnsi="Calibri" w:cs="Calibri"/>
        </w:rPr>
        <w:t>,</w:t>
      </w:r>
      <w:r>
        <w:rPr>
          <w:rFonts w:ascii="Calibri" w:hAnsi="Calibri" w:cs="Calibri"/>
        </w:rPr>
        <w:t xml:space="preserve"> so participation in WRAP will be via BPA.  If an NLSL elects either </w:t>
      </w:r>
      <w:r w:rsidR="005327C5">
        <w:rPr>
          <w:rFonts w:ascii="Calibri" w:hAnsi="Calibri" w:cs="Calibri"/>
        </w:rPr>
        <w:t xml:space="preserve">third-party </w:t>
      </w:r>
      <w:r>
        <w:rPr>
          <w:rFonts w:ascii="Calibri" w:hAnsi="Calibri" w:cs="Calibri"/>
        </w:rPr>
        <w:t>purchases or non-Federal resources, these must be from specified resources and have sufficient qualified capacity to meet expected peak demand plus a PRM.  NLSLs that do not elect NR service or acquire sufficient qualified capacity will need to go through a load exclusion process in WRAP, which has not yet been defined.</w:t>
      </w:r>
    </w:p>
    <w:p w14:paraId="5E8D777C" w14:textId="020D7D8E" w:rsidR="00F04FC9" w:rsidRDefault="00F04FC9" w:rsidP="00F04FC9">
      <w:pPr>
        <w:pStyle w:val="ListParagraph"/>
        <w:numPr>
          <w:ilvl w:val="0"/>
          <w:numId w:val="14"/>
        </w:numPr>
        <w:rPr>
          <w:rFonts w:ascii="Calibri" w:hAnsi="Calibri" w:cs="Calibri"/>
        </w:rPr>
      </w:pPr>
      <w:r>
        <w:rPr>
          <w:rFonts w:ascii="Calibri" w:hAnsi="Calibri" w:cs="Calibri"/>
        </w:rPr>
        <w:t>Alignment with the evolution of energy market</w:t>
      </w:r>
      <w:r w:rsidR="009E7B44">
        <w:rPr>
          <w:rFonts w:ascii="Calibri" w:hAnsi="Calibri" w:cs="Calibri"/>
        </w:rPr>
        <w:t>s</w:t>
      </w:r>
      <w:r>
        <w:rPr>
          <w:rFonts w:ascii="Calibri" w:hAnsi="Calibri" w:cs="Calibri"/>
        </w:rPr>
        <w:t>.</w:t>
      </w:r>
    </w:p>
    <w:p w14:paraId="0D98D45A" w14:textId="189B1D67" w:rsidR="00266187" w:rsidRDefault="009E7B44" w:rsidP="002E3C9C">
      <w:pPr>
        <w:ind w:left="720"/>
        <w:rPr>
          <w:rFonts w:ascii="Calibri" w:hAnsi="Calibri" w:cs="Calibri"/>
        </w:rPr>
      </w:pPr>
      <w:r>
        <w:rPr>
          <w:rFonts w:ascii="Calibri" w:hAnsi="Calibri" w:cs="Calibri"/>
        </w:rPr>
        <w:t xml:space="preserve">As mentioned above, </w:t>
      </w:r>
      <w:r w:rsidR="005327C5">
        <w:rPr>
          <w:rFonts w:ascii="Calibri" w:hAnsi="Calibri" w:cs="Calibri"/>
        </w:rPr>
        <w:t xml:space="preserve">current </w:t>
      </w:r>
      <w:r>
        <w:rPr>
          <w:rFonts w:ascii="Calibri" w:hAnsi="Calibri" w:cs="Calibri"/>
        </w:rPr>
        <w:t xml:space="preserve">NLSL load is </w:t>
      </w:r>
      <w:r w:rsidR="005327C5">
        <w:rPr>
          <w:rFonts w:ascii="Calibri" w:hAnsi="Calibri" w:cs="Calibri"/>
        </w:rPr>
        <w:t>generally</w:t>
      </w:r>
      <w:r>
        <w:rPr>
          <w:rFonts w:ascii="Calibri" w:hAnsi="Calibri" w:cs="Calibri"/>
        </w:rPr>
        <w:t xml:space="preserve"> served by third-party purchases</w:t>
      </w:r>
      <w:r w:rsidR="002E3C9C">
        <w:rPr>
          <w:rFonts w:ascii="Calibri" w:hAnsi="Calibri" w:cs="Calibri"/>
        </w:rPr>
        <w:t xml:space="preserve"> either made annual</w:t>
      </w:r>
      <w:r w:rsidR="00594AA2">
        <w:rPr>
          <w:rFonts w:ascii="Calibri" w:hAnsi="Calibri" w:cs="Calibri"/>
        </w:rPr>
        <w:t>ly</w:t>
      </w:r>
      <w:r w:rsidR="002E3C9C">
        <w:rPr>
          <w:rFonts w:ascii="Calibri" w:hAnsi="Calibri" w:cs="Calibri"/>
        </w:rPr>
        <w:t>, monthly or day-ahead.  As energy markets evolve from bilaterally traded blocks to organized markets with hourly and sub-hourly dispatche</w:t>
      </w:r>
      <w:r w:rsidR="00594AA2">
        <w:rPr>
          <w:rFonts w:ascii="Calibri" w:hAnsi="Calibri" w:cs="Calibri"/>
        </w:rPr>
        <w:t>s</w:t>
      </w:r>
      <w:r w:rsidR="002E3C9C">
        <w:rPr>
          <w:rFonts w:ascii="Calibri" w:hAnsi="Calibri" w:cs="Calibri"/>
        </w:rPr>
        <w:t xml:space="preserve">, the conventional wisdom is that the liquidity of bilateral trading of physical blocks of power will diminish.  </w:t>
      </w:r>
      <w:r w:rsidR="00D45C47">
        <w:rPr>
          <w:rFonts w:ascii="Calibri" w:hAnsi="Calibri" w:cs="Calibri"/>
        </w:rPr>
        <w:t xml:space="preserve">It is </w:t>
      </w:r>
      <w:r w:rsidR="003E3337">
        <w:rPr>
          <w:rFonts w:ascii="Calibri" w:hAnsi="Calibri" w:cs="Calibri"/>
        </w:rPr>
        <w:t xml:space="preserve">also </w:t>
      </w:r>
      <w:r w:rsidR="00D45C47">
        <w:rPr>
          <w:rFonts w:ascii="Calibri" w:hAnsi="Calibri" w:cs="Calibri"/>
        </w:rPr>
        <w:t xml:space="preserve">not clear how existing integration services provided by BPAP will function in an organized market. </w:t>
      </w:r>
      <w:r w:rsidR="002E3C9C">
        <w:rPr>
          <w:rFonts w:ascii="Calibri" w:hAnsi="Calibri" w:cs="Calibri"/>
        </w:rPr>
        <w:t>In addition, NLSLs with flexible demand or behind-the-meter generation will be interested in participating in markets that recognize the capacity and energy value of demand response.</w:t>
      </w:r>
    </w:p>
    <w:p w14:paraId="42A8BE6F" w14:textId="16372443" w:rsidR="00594AA2" w:rsidRDefault="00594AA2" w:rsidP="00594AA2">
      <w:pPr>
        <w:pStyle w:val="ListParagraph"/>
        <w:numPr>
          <w:ilvl w:val="0"/>
          <w:numId w:val="14"/>
        </w:numPr>
        <w:rPr>
          <w:rFonts w:ascii="Calibri" w:hAnsi="Calibri" w:cs="Calibri"/>
        </w:rPr>
      </w:pPr>
      <w:r>
        <w:rPr>
          <w:rFonts w:ascii="Calibri" w:hAnsi="Calibri" w:cs="Calibri"/>
        </w:rPr>
        <w:t>Transmission Availability</w:t>
      </w:r>
    </w:p>
    <w:p w14:paraId="55AC7686" w14:textId="21A0763F" w:rsidR="00437D72" w:rsidRDefault="00594AA2" w:rsidP="00594AA2">
      <w:pPr>
        <w:ind w:left="720"/>
        <w:rPr>
          <w:rFonts w:ascii="Calibri" w:hAnsi="Calibri" w:cs="Calibri"/>
        </w:rPr>
      </w:pPr>
      <w:r>
        <w:rPr>
          <w:rFonts w:ascii="Calibri" w:hAnsi="Calibri" w:cs="Calibri"/>
        </w:rPr>
        <w:t xml:space="preserve">Regardless of the method for serving NLSL load, sufficient transmission </w:t>
      </w:r>
      <w:r w:rsidR="003626B2">
        <w:rPr>
          <w:rFonts w:ascii="Calibri" w:hAnsi="Calibri" w:cs="Calibri"/>
        </w:rPr>
        <w:t>is required to assure that generation can be delivered to the NLSL.  The NLSL Group is hopeful that proposed queue reforms will streamline the development of non</w:t>
      </w:r>
      <w:r w:rsidR="00673CF1">
        <w:rPr>
          <w:rFonts w:ascii="Calibri" w:hAnsi="Calibri" w:cs="Calibri"/>
        </w:rPr>
        <w:t>-</w:t>
      </w:r>
      <w:r w:rsidR="003626B2">
        <w:rPr>
          <w:rFonts w:ascii="Calibri" w:hAnsi="Calibri" w:cs="Calibri"/>
        </w:rPr>
        <w:t xml:space="preserve">Federal resources that </w:t>
      </w:r>
      <w:r w:rsidR="003626B2">
        <w:rPr>
          <w:rFonts w:ascii="Calibri" w:hAnsi="Calibri" w:cs="Calibri"/>
        </w:rPr>
        <w:lastRenderedPageBreak/>
        <w:t>may be used to serve NLSL load, however the timing of non</w:t>
      </w:r>
      <w:r w:rsidR="00673CF1">
        <w:rPr>
          <w:rFonts w:ascii="Calibri" w:hAnsi="Calibri" w:cs="Calibri"/>
        </w:rPr>
        <w:t>-</w:t>
      </w:r>
      <w:r w:rsidR="003626B2">
        <w:rPr>
          <w:rFonts w:ascii="Calibri" w:hAnsi="Calibri" w:cs="Calibri"/>
        </w:rPr>
        <w:t xml:space="preserve">Federal resource development and the development of new </w:t>
      </w:r>
      <w:r w:rsidR="007671E8">
        <w:rPr>
          <w:rFonts w:ascii="Calibri" w:hAnsi="Calibri" w:cs="Calibri"/>
        </w:rPr>
        <w:t>PoC</w:t>
      </w:r>
      <w:r w:rsidR="00407B18">
        <w:rPr>
          <w:rFonts w:ascii="Calibri" w:hAnsi="Calibri" w:cs="Calibri"/>
        </w:rPr>
        <w:t xml:space="preserve"> contracts</w:t>
      </w:r>
      <w:r w:rsidR="003626B2">
        <w:rPr>
          <w:rFonts w:ascii="Calibri" w:hAnsi="Calibri" w:cs="Calibri"/>
        </w:rPr>
        <w:t xml:space="preserve"> may not be aligned.   </w:t>
      </w:r>
    </w:p>
    <w:p w14:paraId="7DA0DD13" w14:textId="77777777" w:rsidR="00437D72" w:rsidRDefault="00437D72" w:rsidP="00594AA2">
      <w:pPr>
        <w:ind w:left="720"/>
        <w:rPr>
          <w:rFonts w:ascii="Calibri" w:hAnsi="Calibri" w:cs="Calibri"/>
        </w:rPr>
      </w:pPr>
    </w:p>
    <w:p w14:paraId="570B3D33" w14:textId="6DDCD3E6" w:rsidR="00594AA2" w:rsidRPr="00594AA2" w:rsidRDefault="003626B2" w:rsidP="00594AA2">
      <w:pPr>
        <w:ind w:left="720"/>
        <w:rPr>
          <w:rFonts w:ascii="Calibri" w:hAnsi="Calibri" w:cs="Calibri"/>
        </w:rPr>
      </w:pPr>
      <w:r>
        <w:rPr>
          <w:rFonts w:ascii="Calibri" w:hAnsi="Calibri" w:cs="Calibri"/>
        </w:rPr>
        <w:t xml:space="preserve">It is </w:t>
      </w:r>
      <w:r w:rsidR="00407B18">
        <w:rPr>
          <w:rFonts w:ascii="Calibri" w:hAnsi="Calibri" w:cs="Calibri"/>
        </w:rPr>
        <w:t xml:space="preserve">also </w:t>
      </w:r>
      <w:r>
        <w:rPr>
          <w:rFonts w:ascii="Calibri" w:hAnsi="Calibri" w:cs="Calibri"/>
        </w:rPr>
        <w:t xml:space="preserve">not clear whether there is sufficient NT </w:t>
      </w:r>
      <w:r w:rsidR="00A43D57">
        <w:rPr>
          <w:rFonts w:ascii="Calibri" w:hAnsi="Calibri" w:cs="Calibri"/>
        </w:rPr>
        <w:t xml:space="preserve">transmission </w:t>
      </w:r>
      <w:r>
        <w:rPr>
          <w:rFonts w:ascii="Calibri" w:hAnsi="Calibri" w:cs="Calibri"/>
        </w:rPr>
        <w:t xml:space="preserve">service available to meet this </w:t>
      </w:r>
      <w:r w:rsidR="001F5739">
        <w:rPr>
          <w:rFonts w:ascii="Calibri" w:hAnsi="Calibri" w:cs="Calibri"/>
        </w:rPr>
        <w:t>additional</w:t>
      </w:r>
      <w:r>
        <w:rPr>
          <w:rFonts w:ascii="Calibri" w:hAnsi="Calibri" w:cs="Calibri"/>
        </w:rPr>
        <w:t xml:space="preserve"> NLSL demand.</w:t>
      </w:r>
      <w:r w:rsidR="00437D72">
        <w:rPr>
          <w:rFonts w:ascii="Calibri" w:hAnsi="Calibri" w:cs="Calibri"/>
        </w:rPr>
        <w:t xml:space="preserve">  Discussions at the November 8</w:t>
      </w:r>
      <w:r w:rsidR="00437D72" w:rsidRPr="00437D72">
        <w:rPr>
          <w:rFonts w:ascii="Calibri" w:hAnsi="Calibri" w:cs="Calibri"/>
          <w:vertAlign w:val="superscript"/>
        </w:rPr>
        <w:t>th</w:t>
      </w:r>
      <w:r w:rsidR="00437D72">
        <w:rPr>
          <w:rFonts w:ascii="Calibri" w:hAnsi="Calibri" w:cs="Calibri"/>
        </w:rPr>
        <w:t xml:space="preserve"> NITS Roundtable meeting </w:t>
      </w:r>
      <w:r w:rsidR="00460C04">
        <w:rPr>
          <w:rFonts w:ascii="Calibri" w:hAnsi="Calibri" w:cs="Calibri"/>
        </w:rPr>
        <w:t>hint</w:t>
      </w:r>
      <w:r w:rsidR="00437D72">
        <w:rPr>
          <w:rFonts w:ascii="Calibri" w:hAnsi="Calibri" w:cs="Calibri"/>
        </w:rPr>
        <w:t xml:space="preserve">ed </w:t>
      </w:r>
      <w:r w:rsidR="00460C04">
        <w:rPr>
          <w:rFonts w:ascii="Calibri" w:hAnsi="Calibri" w:cs="Calibri"/>
        </w:rPr>
        <w:t>at implications</w:t>
      </w:r>
      <w:r w:rsidR="00D45C47">
        <w:rPr>
          <w:rFonts w:ascii="Calibri" w:hAnsi="Calibri" w:cs="Calibri"/>
        </w:rPr>
        <w:t xml:space="preserve"> for </w:t>
      </w:r>
      <w:r w:rsidR="00460C04">
        <w:rPr>
          <w:rFonts w:ascii="Calibri" w:hAnsi="Calibri" w:cs="Calibri"/>
        </w:rPr>
        <w:t xml:space="preserve">new network load, </w:t>
      </w:r>
      <w:r w:rsidR="00A43D57">
        <w:rPr>
          <w:rFonts w:ascii="Calibri" w:hAnsi="Calibri" w:cs="Calibri"/>
        </w:rPr>
        <w:t xml:space="preserve">which </w:t>
      </w:r>
      <w:r w:rsidR="00460C04">
        <w:rPr>
          <w:rFonts w:ascii="Calibri" w:hAnsi="Calibri" w:cs="Calibri"/>
        </w:rPr>
        <w:t xml:space="preserve">left some attendees </w:t>
      </w:r>
      <w:r w:rsidR="00A43D57">
        <w:rPr>
          <w:rFonts w:ascii="Calibri" w:hAnsi="Calibri" w:cs="Calibri"/>
        </w:rPr>
        <w:t xml:space="preserve">requiring more detailed information </w:t>
      </w:r>
      <w:r w:rsidR="00460C04">
        <w:rPr>
          <w:rFonts w:ascii="Calibri" w:hAnsi="Calibri" w:cs="Calibri"/>
        </w:rPr>
        <w:t xml:space="preserve">about NT access for new NLSLs. </w:t>
      </w:r>
    </w:p>
    <w:p w14:paraId="6A3C2863" w14:textId="77777777" w:rsidR="002E3C9C" w:rsidRDefault="002E3C9C" w:rsidP="002E3C9C">
      <w:pPr>
        <w:ind w:left="720"/>
        <w:rPr>
          <w:rFonts w:ascii="Calibri" w:hAnsi="Calibri" w:cs="Calibri"/>
        </w:rPr>
      </w:pPr>
    </w:p>
    <w:p w14:paraId="27E9B91C" w14:textId="49A9AE26" w:rsidR="003E3337" w:rsidRDefault="003E3337" w:rsidP="002E3C9C">
      <w:pPr>
        <w:rPr>
          <w:rFonts w:ascii="Calibri" w:hAnsi="Calibri" w:cs="Calibri"/>
          <w:b/>
          <w:bCs/>
          <w:u w:val="single"/>
        </w:rPr>
      </w:pPr>
      <w:r>
        <w:rPr>
          <w:rFonts w:ascii="Calibri" w:hAnsi="Calibri" w:cs="Calibri"/>
          <w:b/>
          <w:bCs/>
          <w:u w:val="single"/>
        </w:rPr>
        <w:t xml:space="preserve">Incorporating NLSLs into </w:t>
      </w:r>
      <w:r w:rsidR="00F12A79">
        <w:rPr>
          <w:rFonts w:ascii="Calibri" w:hAnsi="Calibri" w:cs="Calibri"/>
          <w:b/>
          <w:bCs/>
          <w:u w:val="single"/>
        </w:rPr>
        <w:t>RP-24</w:t>
      </w:r>
    </w:p>
    <w:p w14:paraId="1F89E4BC" w14:textId="77777777" w:rsidR="00F12A79" w:rsidRDefault="00F12A79" w:rsidP="002E3C9C">
      <w:pPr>
        <w:rPr>
          <w:rFonts w:ascii="Calibri" w:hAnsi="Calibri" w:cs="Calibri"/>
          <w:b/>
          <w:bCs/>
          <w:u w:val="single"/>
        </w:rPr>
      </w:pPr>
    </w:p>
    <w:p w14:paraId="3C14DABC" w14:textId="77777777" w:rsidR="006907AB" w:rsidRDefault="00F12A79" w:rsidP="007671E8">
      <w:pPr>
        <w:rPr>
          <w:rFonts w:ascii="Calibri" w:hAnsi="Calibri" w:cs="Calibri"/>
        </w:rPr>
      </w:pPr>
      <w:r>
        <w:rPr>
          <w:rFonts w:ascii="Calibri" w:hAnsi="Calibri" w:cs="Calibri"/>
        </w:rPr>
        <w:t>In the November 28</w:t>
      </w:r>
      <w:r w:rsidRPr="00F12A79">
        <w:rPr>
          <w:rFonts w:ascii="Calibri" w:hAnsi="Calibri" w:cs="Calibri"/>
          <w:vertAlign w:val="superscript"/>
        </w:rPr>
        <w:t>th</w:t>
      </w:r>
      <w:r>
        <w:rPr>
          <w:rFonts w:ascii="Calibri" w:hAnsi="Calibri" w:cs="Calibri"/>
        </w:rPr>
        <w:t xml:space="preserve"> workshop, BPA proposed to exclude NLSLs from both the Base and Fast Transition scenarios.  Instead, BPA proposed to perform a sensitivity study that would treat </w:t>
      </w:r>
      <w:r w:rsidR="007671E8">
        <w:rPr>
          <w:rFonts w:ascii="Calibri" w:hAnsi="Calibri" w:cs="Calibri"/>
        </w:rPr>
        <w:t xml:space="preserve">some amount of </w:t>
      </w:r>
      <w:r>
        <w:rPr>
          <w:rFonts w:ascii="Calibri" w:hAnsi="Calibri" w:cs="Calibri"/>
        </w:rPr>
        <w:t xml:space="preserve">NLSL and IOU load taking NR service as a flat block.  </w:t>
      </w:r>
      <w:r w:rsidR="007671E8">
        <w:rPr>
          <w:rFonts w:ascii="Calibri" w:hAnsi="Calibri" w:cs="Calibri"/>
        </w:rPr>
        <w:t xml:space="preserve">Given the magnitude of NLSL growth, the NLSL Group believes that there will be an impact to the Needs Assessment regardless of the method of load service. </w:t>
      </w:r>
      <w:r>
        <w:rPr>
          <w:rFonts w:ascii="Calibri" w:hAnsi="Calibri" w:cs="Calibri"/>
        </w:rPr>
        <w:t xml:space="preserve"> </w:t>
      </w:r>
    </w:p>
    <w:p w14:paraId="743E0092" w14:textId="77777777" w:rsidR="006907AB" w:rsidRDefault="006907AB" w:rsidP="007671E8">
      <w:pPr>
        <w:rPr>
          <w:rFonts w:ascii="Calibri" w:hAnsi="Calibri" w:cs="Calibri"/>
        </w:rPr>
      </w:pPr>
    </w:p>
    <w:p w14:paraId="3FC13D90" w14:textId="3D6FE4F1" w:rsidR="009D2BA0" w:rsidRDefault="006907AB" w:rsidP="007671E8">
      <w:pPr>
        <w:rPr>
          <w:rFonts w:ascii="Calibri" w:hAnsi="Calibri" w:cs="Calibri"/>
        </w:rPr>
      </w:pPr>
      <w:r>
        <w:rPr>
          <w:rFonts w:ascii="Calibri" w:hAnsi="Calibri" w:cs="Calibri"/>
        </w:rPr>
        <w:t xml:space="preserve">In addition, </w:t>
      </w:r>
      <w:r w:rsidR="009320E1">
        <w:rPr>
          <w:rFonts w:ascii="Calibri" w:hAnsi="Calibri" w:cs="Calibri"/>
        </w:rPr>
        <w:t xml:space="preserve">in response to policy mandates for generating resources with zero carbon emissions, </w:t>
      </w:r>
      <w:r>
        <w:rPr>
          <w:rFonts w:ascii="Calibri" w:hAnsi="Calibri" w:cs="Calibri"/>
        </w:rPr>
        <w:t xml:space="preserve">many new resources being developed in the region will be variable resources. It is imperative that </w:t>
      </w:r>
      <w:r w:rsidR="009320E1">
        <w:rPr>
          <w:rFonts w:ascii="Calibri" w:hAnsi="Calibri" w:cs="Calibri"/>
        </w:rPr>
        <w:t>existing l</w:t>
      </w:r>
      <w:r>
        <w:rPr>
          <w:rFonts w:ascii="Calibri" w:hAnsi="Calibri" w:cs="Calibri"/>
        </w:rPr>
        <w:t>ong-</w:t>
      </w:r>
      <w:r w:rsidR="009320E1">
        <w:rPr>
          <w:rFonts w:ascii="Calibri" w:hAnsi="Calibri" w:cs="Calibri"/>
        </w:rPr>
        <w:t>t</w:t>
      </w:r>
      <w:r>
        <w:rPr>
          <w:rFonts w:ascii="Calibri" w:hAnsi="Calibri" w:cs="Calibri"/>
        </w:rPr>
        <w:t xml:space="preserve">erm transmission </w:t>
      </w:r>
      <w:r w:rsidR="009320E1">
        <w:rPr>
          <w:rFonts w:ascii="Calibri" w:hAnsi="Calibri" w:cs="Calibri"/>
        </w:rPr>
        <w:t xml:space="preserve">rights </w:t>
      </w:r>
      <w:r>
        <w:rPr>
          <w:rFonts w:ascii="Calibri" w:hAnsi="Calibri" w:cs="Calibri"/>
        </w:rPr>
        <w:t>be utilized to meet load obligations without having the benefit of dispatchable resources or a liquid firm market that the existing transmission system was designed around. T</w:t>
      </w:r>
      <w:r w:rsidR="007671E8">
        <w:rPr>
          <w:rFonts w:ascii="Calibri" w:hAnsi="Calibri" w:cs="Calibri"/>
        </w:rPr>
        <w:t xml:space="preserve">he NLSL Group believes that it is </w:t>
      </w:r>
      <w:r w:rsidR="007671E8" w:rsidRPr="007671E8">
        <w:rPr>
          <w:rFonts w:ascii="Calibri" w:hAnsi="Calibri" w:cs="Calibri"/>
        </w:rPr>
        <w:t>likely that there will be less reliance on third-party block purchases and more uses of BPA NR load service and non-Federal generation</w:t>
      </w:r>
      <w:r w:rsidR="007671E8">
        <w:rPr>
          <w:rFonts w:ascii="Calibri" w:hAnsi="Calibri" w:cs="Calibri"/>
        </w:rPr>
        <w:t xml:space="preserve"> and that</w:t>
      </w:r>
      <w:r w:rsidR="007671E8" w:rsidRPr="007671E8">
        <w:rPr>
          <w:rFonts w:ascii="Calibri" w:hAnsi="Calibri" w:cs="Calibri"/>
        </w:rPr>
        <w:t xml:space="preserve"> it is more likely that BPA will be asked to serve NLSL load at the NR Rate if there is not a clear path for non</w:t>
      </w:r>
      <w:r w:rsidR="00A43D57">
        <w:rPr>
          <w:rFonts w:ascii="Calibri" w:hAnsi="Calibri" w:cs="Calibri"/>
        </w:rPr>
        <w:t>-f</w:t>
      </w:r>
      <w:r w:rsidR="007671E8" w:rsidRPr="007671E8">
        <w:rPr>
          <w:rFonts w:ascii="Calibri" w:hAnsi="Calibri" w:cs="Calibri"/>
        </w:rPr>
        <w:t xml:space="preserve">ederal resource development in place by the time new </w:t>
      </w:r>
      <w:r w:rsidR="00C15DC7">
        <w:rPr>
          <w:rFonts w:ascii="Calibri" w:hAnsi="Calibri" w:cs="Calibri"/>
        </w:rPr>
        <w:t>PoC</w:t>
      </w:r>
      <w:r w:rsidR="007671E8" w:rsidRPr="007671E8">
        <w:rPr>
          <w:rFonts w:ascii="Calibri" w:hAnsi="Calibri" w:cs="Calibri"/>
        </w:rPr>
        <w:t xml:space="preserve"> contracts are to be signed or if there is no contract flexibility for NR rate election</w:t>
      </w:r>
      <w:r w:rsidR="007671E8">
        <w:rPr>
          <w:rFonts w:ascii="Calibri" w:hAnsi="Calibri" w:cs="Calibri"/>
        </w:rPr>
        <w:t>.</w:t>
      </w:r>
      <w:r w:rsidR="00C15DC7">
        <w:rPr>
          <w:rFonts w:ascii="Calibri" w:hAnsi="Calibri" w:cs="Calibri"/>
        </w:rPr>
        <w:t xml:space="preserve">  </w:t>
      </w:r>
    </w:p>
    <w:p w14:paraId="4EF2619B" w14:textId="77777777" w:rsidR="009D2BA0" w:rsidRDefault="009D2BA0" w:rsidP="007671E8">
      <w:pPr>
        <w:rPr>
          <w:rFonts w:ascii="Calibri" w:hAnsi="Calibri" w:cs="Calibri"/>
        </w:rPr>
      </w:pPr>
    </w:p>
    <w:p w14:paraId="3B1C51E8" w14:textId="0BECD41E" w:rsidR="00F12A79" w:rsidRDefault="00C15DC7" w:rsidP="007671E8">
      <w:pPr>
        <w:rPr>
          <w:rFonts w:ascii="Calibri" w:hAnsi="Calibri" w:cs="Calibri"/>
        </w:rPr>
      </w:pPr>
      <w:r>
        <w:rPr>
          <w:rFonts w:ascii="Calibri" w:hAnsi="Calibri" w:cs="Calibri"/>
        </w:rPr>
        <w:t>Finally, it is not clear whether there is sufficient FCRP</w:t>
      </w:r>
      <w:r w:rsidR="00D27FDF">
        <w:rPr>
          <w:rFonts w:ascii="Calibri" w:hAnsi="Calibri" w:cs="Calibri"/>
        </w:rPr>
        <w:t>S</w:t>
      </w:r>
      <w:r>
        <w:rPr>
          <w:rFonts w:ascii="Calibri" w:hAnsi="Calibri" w:cs="Calibri"/>
        </w:rPr>
        <w:t xml:space="preserve"> capacity to supply integration services </w:t>
      </w:r>
      <w:r w:rsidRPr="00C15DC7">
        <w:rPr>
          <w:rFonts w:ascii="Calibri" w:hAnsi="Calibri" w:cs="Calibri"/>
        </w:rPr>
        <w:t>(ESS, NRFS, RSC, RSC Adjustment, GI)</w:t>
      </w:r>
      <w:r w:rsidRPr="00C15DC7">
        <w:rPr>
          <w:rFonts w:ascii="Calibri" w:hAnsi="Calibri" w:cs="Calibri"/>
          <w:b/>
          <w:bCs/>
        </w:rPr>
        <w:t xml:space="preserve"> </w:t>
      </w:r>
      <w:r>
        <w:rPr>
          <w:rFonts w:ascii="Calibri" w:hAnsi="Calibri" w:cs="Calibri"/>
        </w:rPr>
        <w:t xml:space="preserve">for new non-Federal resources that </w:t>
      </w:r>
      <w:r w:rsidR="009320E1">
        <w:rPr>
          <w:rFonts w:ascii="Calibri" w:hAnsi="Calibri" w:cs="Calibri"/>
        </w:rPr>
        <w:t xml:space="preserve">may </w:t>
      </w:r>
      <w:r>
        <w:rPr>
          <w:rFonts w:ascii="Calibri" w:hAnsi="Calibri" w:cs="Calibri"/>
        </w:rPr>
        <w:t>be necessary to serve NLSL</w:t>
      </w:r>
      <w:r w:rsidR="009D2BA0">
        <w:rPr>
          <w:rFonts w:ascii="Calibri" w:hAnsi="Calibri" w:cs="Calibri"/>
        </w:rPr>
        <w:t xml:space="preserve"> load</w:t>
      </w:r>
      <w:r>
        <w:rPr>
          <w:rFonts w:ascii="Calibri" w:hAnsi="Calibri" w:cs="Calibri"/>
        </w:rPr>
        <w:t>.</w:t>
      </w:r>
      <w:r w:rsidR="00673CF1">
        <w:rPr>
          <w:rFonts w:ascii="Calibri" w:hAnsi="Calibri" w:cs="Calibri"/>
        </w:rPr>
        <w:t xml:space="preserve">  Members of the NLSL Group have raised questions as to whether </w:t>
      </w:r>
      <w:r w:rsidR="00E454E1">
        <w:rPr>
          <w:rFonts w:ascii="Calibri" w:hAnsi="Calibri" w:cs="Calibri"/>
        </w:rPr>
        <w:t xml:space="preserve">the 2024 </w:t>
      </w:r>
      <w:r w:rsidR="00673CF1">
        <w:rPr>
          <w:rFonts w:ascii="Calibri" w:hAnsi="Calibri" w:cs="Calibri"/>
        </w:rPr>
        <w:t xml:space="preserve">Resource Program has considered scenarios that utilize </w:t>
      </w:r>
      <w:r w:rsidR="009D2BA0">
        <w:rPr>
          <w:rFonts w:ascii="Calibri" w:hAnsi="Calibri" w:cs="Calibri"/>
        </w:rPr>
        <w:t xml:space="preserve">non-FCRPS resources (such as </w:t>
      </w:r>
      <w:r w:rsidR="00673CF1">
        <w:rPr>
          <w:rFonts w:ascii="Calibri" w:hAnsi="Calibri" w:cs="Calibri"/>
        </w:rPr>
        <w:t>storage resources</w:t>
      </w:r>
      <w:r w:rsidR="009D2BA0">
        <w:rPr>
          <w:rFonts w:ascii="Calibri" w:hAnsi="Calibri" w:cs="Calibri"/>
        </w:rPr>
        <w:t>)</w:t>
      </w:r>
      <w:r w:rsidR="00673CF1">
        <w:rPr>
          <w:rFonts w:ascii="Calibri" w:hAnsi="Calibri" w:cs="Calibri"/>
        </w:rPr>
        <w:t xml:space="preserve"> to support transmission services, thereby free</w:t>
      </w:r>
      <w:r w:rsidR="009D2BA0">
        <w:rPr>
          <w:rFonts w:ascii="Calibri" w:hAnsi="Calibri" w:cs="Calibri"/>
        </w:rPr>
        <w:t>ing</w:t>
      </w:r>
      <w:r w:rsidR="00673CF1">
        <w:rPr>
          <w:rFonts w:ascii="Calibri" w:hAnsi="Calibri" w:cs="Calibri"/>
        </w:rPr>
        <w:t xml:space="preserve"> up flexibility with</w:t>
      </w:r>
      <w:r w:rsidR="00E454E1">
        <w:rPr>
          <w:rFonts w:ascii="Calibri" w:hAnsi="Calibri" w:cs="Calibri"/>
        </w:rPr>
        <w:t>in</w:t>
      </w:r>
      <w:r w:rsidR="00673CF1">
        <w:rPr>
          <w:rFonts w:ascii="Calibri" w:hAnsi="Calibri" w:cs="Calibri"/>
        </w:rPr>
        <w:t xml:space="preserve"> the </w:t>
      </w:r>
      <w:r w:rsidR="00E454E1">
        <w:rPr>
          <w:rFonts w:ascii="Calibri" w:hAnsi="Calibri" w:cs="Calibri"/>
        </w:rPr>
        <w:t xml:space="preserve">FCRPS </w:t>
      </w:r>
      <w:r w:rsidR="00673CF1">
        <w:rPr>
          <w:rFonts w:ascii="Calibri" w:hAnsi="Calibri" w:cs="Calibri"/>
        </w:rPr>
        <w:t>hydro</w:t>
      </w:r>
      <w:r w:rsidR="00E454E1">
        <w:rPr>
          <w:rFonts w:ascii="Calibri" w:hAnsi="Calibri" w:cs="Calibri"/>
        </w:rPr>
        <w:t xml:space="preserve"> </w:t>
      </w:r>
      <w:r w:rsidR="00673CF1">
        <w:rPr>
          <w:rFonts w:ascii="Calibri" w:hAnsi="Calibri" w:cs="Calibri"/>
        </w:rPr>
        <w:t>s</w:t>
      </w:r>
      <w:r w:rsidR="00E454E1">
        <w:rPr>
          <w:rFonts w:ascii="Calibri" w:hAnsi="Calibri" w:cs="Calibri"/>
        </w:rPr>
        <w:t xml:space="preserve">ystem to </w:t>
      </w:r>
      <w:r w:rsidR="009D2BA0">
        <w:rPr>
          <w:rFonts w:ascii="Calibri" w:hAnsi="Calibri" w:cs="Calibri"/>
        </w:rPr>
        <w:t xml:space="preserve">provide BPAP products to </w:t>
      </w:r>
      <w:r w:rsidR="00E454E1">
        <w:rPr>
          <w:rFonts w:ascii="Calibri" w:hAnsi="Calibri" w:cs="Calibri"/>
        </w:rPr>
        <w:t xml:space="preserve">either integrate non-federal resources and/or provide load service. </w:t>
      </w:r>
    </w:p>
    <w:p w14:paraId="30D685E9" w14:textId="77777777" w:rsidR="00C15DC7" w:rsidRDefault="00C15DC7" w:rsidP="007671E8">
      <w:pPr>
        <w:rPr>
          <w:rFonts w:ascii="Calibri" w:hAnsi="Calibri" w:cs="Calibri"/>
        </w:rPr>
      </w:pPr>
    </w:p>
    <w:p w14:paraId="034B6917" w14:textId="714B19F3" w:rsidR="00C15DC7" w:rsidRDefault="00C15DC7" w:rsidP="007671E8">
      <w:pPr>
        <w:rPr>
          <w:rFonts w:ascii="Calibri" w:hAnsi="Calibri" w:cs="Calibri"/>
        </w:rPr>
      </w:pPr>
      <w:r>
        <w:rPr>
          <w:rFonts w:ascii="Calibri" w:hAnsi="Calibri" w:cs="Calibri"/>
        </w:rPr>
        <w:t xml:space="preserve">The NLSL Group would like BPA to consider the following as part of the Base and Fast Transition </w:t>
      </w:r>
      <w:r w:rsidR="00B912A9">
        <w:rPr>
          <w:rFonts w:ascii="Calibri" w:hAnsi="Calibri" w:cs="Calibri"/>
        </w:rPr>
        <w:t>cases:</w:t>
      </w:r>
    </w:p>
    <w:p w14:paraId="397EBC78" w14:textId="678EC4C0" w:rsidR="00C15DC7" w:rsidRDefault="00C15DC7" w:rsidP="00C15DC7">
      <w:pPr>
        <w:pStyle w:val="ListParagraph"/>
        <w:numPr>
          <w:ilvl w:val="0"/>
          <w:numId w:val="14"/>
        </w:numPr>
        <w:rPr>
          <w:rFonts w:ascii="Calibri" w:hAnsi="Calibri" w:cs="Calibri"/>
        </w:rPr>
      </w:pPr>
      <w:r>
        <w:rPr>
          <w:rFonts w:ascii="Calibri" w:hAnsi="Calibri" w:cs="Calibri"/>
        </w:rPr>
        <w:t>At a minimum, BPA should include any NLSL that has requested NR service</w:t>
      </w:r>
      <w:r w:rsidR="009D2BA0">
        <w:rPr>
          <w:rFonts w:ascii="Calibri" w:hAnsi="Calibri" w:cs="Calibri"/>
        </w:rPr>
        <w:t xml:space="preserve"> during the study period</w:t>
      </w:r>
    </w:p>
    <w:p w14:paraId="7689459F" w14:textId="2DD8923D" w:rsidR="00B912A9" w:rsidRDefault="00B912A9" w:rsidP="00C15DC7">
      <w:pPr>
        <w:pStyle w:val="ListParagraph"/>
        <w:numPr>
          <w:ilvl w:val="0"/>
          <w:numId w:val="14"/>
        </w:numPr>
        <w:rPr>
          <w:rFonts w:ascii="Calibri" w:hAnsi="Calibri" w:cs="Calibri"/>
        </w:rPr>
      </w:pPr>
      <w:r>
        <w:rPr>
          <w:rFonts w:ascii="Calibri" w:hAnsi="Calibri" w:cs="Calibri"/>
        </w:rPr>
        <w:t xml:space="preserve">BPA should develop a methodology for capturing the impacts of integration services </w:t>
      </w:r>
      <w:r w:rsidRPr="00C15DC7">
        <w:rPr>
          <w:rFonts w:ascii="Calibri" w:hAnsi="Calibri" w:cs="Calibri"/>
        </w:rPr>
        <w:t>(ESS, NRFS, RSC, RSC Adjustment, GI)</w:t>
      </w:r>
      <w:r>
        <w:rPr>
          <w:rFonts w:ascii="Calibri" w:hAnsi="Calibri" w:cs="Calibri"/>
        </w:rPr>
        <w:t xml:space="preserve"> in Needs Assessment studies</w:t>
      </w:r>
    </w:p>
    <w:p w14:paraId="0276A902" w14:textId="1ABBA20E" w:rsidR="00B912A9" w:rsidRDefault="00B912A9" w:rsidP="00C15DC7">
      <w:pPr>
        <w:pStyle w:val="ListParagraph"/>
        <w:numPr>
          <w:ilvl w:val="0"/>
          <w:numId w:val="14"/>
        </w:numPr>
        <w:rPr>
          <w:rFonts w:ascii="Calibri" w:hAnsi="Calibri" w:cs="Calibri"/>
        </w:rPr>
      </w:pPr>
      <w:r>
        <w:rPr>
          <w:rFonts w:ascii="Calibri" w:hAnsi="Calibri" w:cs="Calibri"/>
        </w:rPr>
        <w:t xml:space="preserve">The studies should include an explicit assumption for how NLSLs </w:t>
      </w:r>
      <w:r w:rsidR="008357B3">
        <w:rPr>
          <w:rFonts w:ascii="Calibri" w:hAnsi="Calibri" w:cs="Calibri"/>
        </w:rPr>
        <w:t xml:space="preserve">are </w:t>
      </w:r>
      <w:r>
        <w:rPr>
          <w:rFonts w:ascii="Calibri" w:hAnsi="Calibri" w:cs="Calibri"/>
        </w:rPr>
        <w:t>treated (for example, 25% at the NR rate, 50% with non</w:t>
      </w:r>
      <w:r w:rsidR="008357B3">
        <w:rPr>
          <w:rFonts w:ascii="Calibri" w:hAnsi="Calibri" w:cs="Calibri"/>
        </w:rPr>
        <w:t>-f</w:t>
      </w:r>
      <w:r>
        <w:rPr>
          <w:rFonts w:ascii="Calibri" w:hAnsi="Calibri" w:cs="Calibri"/>
        </w:rPr>
        <w:t>ederal resources plus integration services, 25% block purchases with ESS)</w:t>
      </w:r>
    </w:p>
    <w:p w14:paraId="35343A38" w14:textId="47E56E80" w:rsidR="00B912A9" w:rsidRDefault="00B912A9" w:rsidP="00C15DC7">
      <w:pPr>
        <w:pStyle w:val="ListParagraph"/>
        <w:numPr>
          <w:ilvl w:val="0"/>
          <w:numId w:val="14"/>
        </w:numPr>
        <w:rPr>
          <w:rFonts w:ascii="Calibri" w:hAnsi="Calibri" w:cs="Calibri"/>
        </w:rPr>
      </w:pPr>
      <w:r>
        <w:rPr>
          <w:rFonts w:ascii="Calibri" w:hAnsi="Calibri" w:cs="Calibri"/>
        </w:rPr>
        <w:lastRenderedPageBreak/>
        <w:t>The resource program should include a specific analysis on the FCRPS capability to provide integration service, which should be a One-BPA approach that considers the needs of BPAP customers and the needs of BPAT to maintain load/resource balance.</w:t>
      </w:r>
    </w:p>
    <w:p w14:paraId="14DBC160" w14:textId="7713281D" w:rsidR="00A4324F" w:rsidRDefault="00A4324F" w:rsidP="00A4324F">
      <w:pPr>
        <w:numPr>
          <w:ilvl w:val="0"/>
          <w:numId w:val="14"/>
        </w:numPr>
        <w:rPr>
          <w:rFonts w:ascii="Calibri" w:hAnsi="Calibri" w:cs="Calibri"/>
        </w:rPr>
      </w:pPr>
      <w:r>
        <w:rPr>
          <w:rFonts w:ascii="Calibri" w:hAnsi="Calibri" w:cs="Calibri"/>
        </w:rPr>
        <w:t>T</w:t>
      </w:r>
      <w:r w:rsidRPr="00A4324F">
        <w:rPr>
          <w:rFonts w:ascii="Calibri" w:hAnsi="Calibri" w:cs="Calibri"/>
        </w:rPr>
        <w:t xml:space="preserve">he high load factor </w:t>
      </w:r>
      <w:r>
        <w:rPr>
          <w:rFonts w:ascii="Calibri" w:hAnsi="Calibri" w:cs="Calibri"/>
        </w:rPr>
        <w:t>nature</w:t>
      </w:r>
      <w:r w:rsidRPr="00A4324F">
        <w:rPr>
          <w:rFonts w:ascii="Calibri" w:hAnsi="Calibri" w:cs="Calibri"/>
        </w:rPr>
        <w:t xml:space="preserve"> of many NLSLs and appropriate resources to serve this load should </w:t>
      </w:r>
      <w:r>
        <w:rPr>
          <w:rFonts w:ascii="Calibri" w:hAnsi="Calibri" w:cs="Calibri"/>
        </w:rPr>
        <w:t xml:space="preserve">be considered for those electing to be served at the </w:t>
      </w:r>
      <w:r w:rsidRPr="00A4324F">
        <w:rPr>
          <w:rFonts w:ascii="Calibri" w:hAnsi="Calibri" w:cs="Calibri"/>
        </w:rPr>
        <w:t xml:space="preserve">NR </w:t>
      </w:r>
      <w:r>
        <w:rPr>
          <w:rFonts w:ascii="Calibri" w:hAnsi="Calibri" w:cs="Calibri"/>
        </w:rPr>
        <w:t>Rate.</w:t>
      </w:r>
      <w:r w:rsidRPr="00A4324F">
        <w:rPr>
          <w:rFonts w:ascii="Calibri" w:hAnsi="Calibri" w:cs="Calibri"/>
        </w:rPr>
        <w:t xml:space="preserve"> </w:t>
      </w:r>
    </w:p>
    <w:p w14:paraId="34F6DE6A" w14:textId="51056EF9" w:rsidR="00380BCA" w:rsidRPr="00A4324F" w:rsidRDefault="00380BCA" w:rsidP="00A4324F">
      <w:pPr>
        <w:numPr>
          <w:ilvl w:val="0"/>
          <w:numId w:val="14"/>
        </w:numPr>
        <w:rPr>
          <w:rFonts w:ascii="Calibri" w:hAnsi="Calibri" w:cs="Calibri"/>
        </w:rPr>
      </w:pPr>
      <w:r>
        <w:rPr>
          <w:rFonts w:ascii="Calibri" w:hAnsi="Calibri" w:cs="Calibri"/>
        </w:rPr>
        <w:t xml:space="preserve">BPA needs to consider and discuss with customers how </w:t>
      </w:r>
      <w:r w:rsidR="009D2BA0">
        <w:rPr>
          <w:rFonts w:ascii="Calibri" w:hAnsi="Calibri" w:cs="Calibri"/>
        </w:rPr>
        <w:t xml:space="preserve">BPAP/BPAT </w:t>
      </w:r>
      <w:r>
        <w:rPr>
          <w:rFonts w:ascii="Calibri" w:hAnsi="Calibri" w:cs="Calibri"/>
        </w:rPr>
        <w:t xml:space="preserve">products and services can be studied based on </w:t>
      </w:r>
      <w:r w:rsidR="009D2BA0">
        <w:rPr>
          <w:rFonts w:ascii="Calibri" w:hAnsi="Calibri" w:cs="Calibri"/>
        </w:rPr>
        <w:t>expected shapes of load and non-</w:t>
      </w:r>
      <w:r w:rsidR="009320E1">
        <w:rPr>
          <w:rFonts w:ascii="Calibri" w:hAnsi="Calibri" w:cs="Calibri"/>
        </w:rPr>
        <w:t>f</w:t>
      </w:r>
      <w:r w:rsidR="009D2BA0">
        <w:rPr>
          <w:rFonts w:ascii="Calibri" w:hAnsi="Calibri" w:cs="Calibri"/>
        </w:rPr>
        <w:t>ederal generation acquired to meet that load</w:t>
      </w:r>
      <w:r>
        <w:rPr>
          <w:rFonts w:ascii="Calibri" w:hAnsi="Calibri" w:cs="Calibri"/>
        </w:rPr>
        <w:t xml:space="preserve">. For example, </w:t>
      </w:r>
      <w:r w:rsidR="009320E1">
        <w:rPr>
          <w:rFonts w:ascii="Calibri" w:hAnsi="Calibri" w:cs="Calibri"/>
        </w:rPr>
        <w:t xml:space="preserve">BPAP </w:t>
      </w:r>
      <w:r w:rsidR="009D2BA0">
        <w:rPr>
          <w:rFonts w:ascii="Calibri" w:hAnsi="Calibri" w:cs="Calibri"/>
        </w:rPr>
        <w:t xml:space="preserve">products using </w:t>
      </w:r>
      <w:proofErr w:type="gramStart"/>
      <w:r w:rsidR="009D2BA0">
        <w:rPr>
          <w:rFonts w:ascii="Calibri" w:hAnsi="Calibri" w:cs="Calibri"/>
        </w:rPr>
        <w:t>a</w:t>
      </w:r>
      <w:proofErr w:type="gramEnd"/>
      <w:r w:rsidR="009D2BA0">
        <w:rPr>
          <w:rFonts w:ascii="Calibri" w:hAnsi="Calibri" w:cs="Calibri"/>
        </w:rPr>
        <w:t xml:space="preserve"> HLH/LLH index may not be appropriate as the region move</w:t>
      </w:r>
      <w:r w:rsidR="0065623B">
        <w:rPr>
          <w:rFonts w:ascii="Calibri" w:hAnsi="Calibri" w:cs="Calibri"/>
        </w:rPr>
        <w:t>s</w:t>
      </w:r>
      <w:r w:rsidR="009D2BA0">
        <w:rPr>
          <w:rFonts w:ascii="Calibri" w:hAnsi="Calibri" w:cs="Calibri"/>
        </w:rPr>
        <w:t xml:space="preserve"> to a day-ahead market with hourly granularity</w:t>
      </w:r>
      <w:r>
        <w:rPr>
          <w:rFonts w:ascii="Calibri" w:hAnsi="Calibri" w:cs="Calibri"/>
        </w:rPr>
        <w:t xml:space="preserve">. </w:t>
      </w:r>
      <w:r w:rsidR="009320E1">
        <w:rPr>
          <w:rFonts w:ascii="Calibri" w:hAnsi="Calibri" w:cs="Calibri"/>
        </w:rPr>
        <w:t xml:space="preserve">The NLSL Group believes that a collaborative approach </w:t>
      </w:r>
      <w:r>
        <w:rPr>
          <w:rFonts w:ascii="Calibri" w:hAnsi="Calibri" w:cs="Calibri"/>
        </w:rPr>
        <w:t xml:space="preserve">to create </w:t>
      </w:r>
      <w:r w:rsidR="009320E1">
        <w:rPr>
          <w:rFonts w:ascii="Calibri" w:hAnsi="Calibri" w:cs="Calibri"/>
        </w:rPr>
        <w:t>durable</w:t>
      </w:r>
      <w:r>
        <w:rPr>
          <w:rFonts w:ascii="Calibri" w:hAnsi="Calibri" w:cs="Calibri"/>
        </w:rPr>
        <w:t xml:space="preserve"> solutions </w:t>
      </w:r>
      <w:r w:rsidR="009320E1">
        <w:rPr>
          <w:rFonts w:ascii="Calibri" w:hAnsi="Calibri" w:cs="Calibri"/>
        </w:rPr>
        <w:t xml:space="preserve">on how NLSL load will be served </w:t>
      </w:r>
      <w:r>
        <w:rPr>
          <w:rFonts w:ascii="Calibri" w:hAnsi="Calibri" w:cs="Calibri"/>
        </w:rPr>
        <w:t xml:space="preserve">with the </w:t>
      </w:r>
      <w:r w:rsidR="009320E1">
        <w:rPr>
          <w:rFonts w:ascii="Calibri" w:hAnsi="Calibri" w:cs="Calibri"/>
        </w:rPr>
        <w:t xml:space="preserve">expected </w:t>
      </w:r>
      <w:r>
        <w:rPr>
          <w:rFonts w:ascii="Calibri" w:hAnsi="Calibri" w:cs="Calibri"/>
        </w:rPr>
        <w:t xml:space="preserve">mix of </w:t>
      </w:r>
      <w:r w:rsidR="008357B3">
        <w:rPr>
          <w:rFonts w:ascii="Calibri" w:hAnsi="Calibri" w:cs="Calibri"/>
        </w:rPr>
        <w:t xml:space="preserve">future </w:t>
      </w:r>
      <w:r>
        <w:rPr>
          <w:rFonts w:ascii="Calibri" w:hAnsi="Calibri" w:cs="Calibri"/>
        </w:rPr>
        <w:t xml:space="preserve">resources is </w:t>
      </w:r>
      <w:r w:rsidR="009320E1">
        <w:rPr>
          <w:rFonts w:ascii="Calibri" w:hAnsi="Calibri" w:cs="Calibri"/>
        </w:rPr>
        <w:t>necessary.</w:t>
      </w:r>
    </w:p>
    <w:p w14:paraId="180C27EB" w14:textId="77777777" w:rsidR="00A4324F" w:rsidRDefault="00A4324F" w:rsidP="00266187">
      <w:pPr>
        <w:rPr>
          <w:rFonts w:ascii="Calibri" w:hAnsi="Calibri" w:cs="Calibri"/>
          <w:b/>
          <w:bCs/>
        </w:rPr>
      </w:pPr>
    </w:p>
    <w:p w14:paraId="7B2ADC0A" w14:textId="22970E4B" w:rsidR="00F04FC9" w:rsidRDefault="00407B18" w:rsidP="00266187">
      <w:pPr>
        <w:rPr>
          <w:rFonts w:ascii="Calibri" w:hAnsi="Calibri" w:cs="Calibri"/>
          <w:b/>
          <w:bCs/>
        </w:rPr>
      </w:pPr>
      <w:r>
        <w:rPr>
          <w:rFonts w:ascii="Calibri" w:hAnsi="Calibri" w:cs="Calibri"/>
          <w:b/>
          <w:bCs/>
        </w:rPr>
        <w:t>Resource Program Stakeholder Engagement</w:t>
      </w:r>
    </w:p>
    <w:p w14:paraId="054561B0" w14:textId="77777777" w:rsidR="00407B18" w:rsidRDefault="00407B18" w:rsidP="00266187">
      <w:pPr>
        <w:rPr>
          <w:rFonts w:ascii="Calibri" w:hAnsi="Calibri" w:cs="Calibri"/>
          <w:b/>
          <w:bCs/>
        </w:rPr>
      </w:pPr>
    </w:p>
    <w:p w14:paraId="025BD687" w14:textId="3850E5D3" w:rsidR="00F04FC9" w:rsidRPr="00564550" w:rsidRDefault="00407B18" w:rsidP="00564550">
      <w:pPr>
        <w:rPr>
          <w:rFonts w:ascii="Calibri" w:hAnsi="Calibri" w:cs="Calibri"/>
          <w:color w:val="000000" w:themeColor="text1"/>
        </w:rPr>
      </w:pPr>
      <w:r>
        <w:rPr>
          <w:rFonts w:ascii="Calibri" w:hAnsi="Calibri" w:cs="Calibri"/>
        </w:rPr>
        <w:t xml:space="preserve">The NLSL Group </w:t>
      </w:r>
      <w:r w:rsidR="00460C04">
        <w:rPr>
          <w:rFonts w:ascii="Calibri" w:hAnsi="Calibri" w:cs="Calibri"/>
        </w:rPr>
        <w:t xml:space="preserve">believes that collaboration between BPAP/BPAT and their customers is critical in order to develop solutions for using </w:t>
      </w:r>
      <w:r w:rsidR="009D2BA0">
        <w:rPr>
          <w:rFonts w:ascii="Calibri" w:hAnsi="Calibri" w:cs="Calibri"/>
        </w:rPr>
        <w:t>n</w:t>
      </w:r>
      <w:r w:rsidR="00460C04">
        <w:rPr>
          <w:rFonts w:ascii="Calibri" w:hAnsi="Calibri" w:cs="Calibri"/>
        </w:rPr>
        <w:t>on</w:t>
      </w:r>
      <w:r w:rsidR="00E454E1">
        <w:rPr>
          <w:rFonts w:ascii="Calibri" w:hAnsi="Calibri" w:cs="Calibri"/>
        </w:rPr>
        <w:t>-</w:t>
      </w:r>
      <w:r w:rsidR="009D2BA0">
        <w:rPr>
          <w:rFonts w:ascii="Calibri" w:hAnsi="Calibri" w:cs="Calibri"/>
        </w:rPr>
        <w:t>f</w:t>
      </w:r>
      <w:r w:rsidR="00460C04">
        <w:rPr>
          <w:rFonts w:ascii="Calibri" w:hAnsi="Calibri" w:cs="Calibri"/>
        </w:rPr>
        <w:t xml:space="preserve">ederal generation to meet loads not met by BPAP.  </w:t>
      </w:r>
      <w:r w:rsidR="00D45C47">
        <w:rPr>
          <w:rFonts w:ascii="Calibri" w:hAnsi="Calibri" w:cs="Calibri"/>
        </w:rPr>
        <w:t xml:space="preserve">BPA’s Resource Program offers a unique opportunity to utilize a modeling framework that uses modern analytical tools to </w:t>
      </w:r>
      <w:r w:rsidR="009D6148">
        <w:rPr>
          <w:rFonts w:ascii="Calibri" w:hAnsi="Calibri" w:cs="Calibri"/>
        </w:rPr>
        <w:t>perform</w:t>
      </w:r>
      <w:r w:rsidR="00D45C47">
        <w:rPr>
          <w:rFonts w:ascii="Calibri" w:hAnsi="Calibri" w:cs="Calibri"/>
        </w:rPr>
        <w:t xml:space="preserve"> not only </w:t>
      </w:r>
      <w:r w:rsidR="009D6148">
        <w:rPr>
          <w:rFonts w:ascii="Calibri" w:hAnsi="Calibri" w:cs="Calibri"/>
        </w:rPr>
        <w:t>Needs Assessment for</w:t>
      </w:r>
      <w:r w:rsidR="00D45C47">
        <w:rPr>
          <w:rFonts w:ascii="Calibri" w:hAnsi="Calibri" w:cs="Calibri"/>
        </w:rPr>
        <w:t xml:space="preserve"> BPAP, </w:t>
      </w:r>
      <w:r w:rsidR="00B912A9">
        <w:rPr>
          <w:rFonts w:ascii="Calibri" w:hAnsi="Calibri" w:cs="Calibri"/>
        </w:rPr>
        <w:t>but also assess the needs of BPAT for balancing services.</w:t>
      </w:r>
      <w:r w:rsidR="00564550">
        <w:rPr>
          <w:rFonts w:ascii="Calibri" w:hAnsi="Calibri" w:cs="Calibri"/>
        </w:rPr>
        <w:t xml:space="preserve">  The NLSL Group is very open to </w:t>
      </w:r>
      <w:r w:rsidR="00564550">
        <w:rPr>
          <w:rFonts w:ascii="Calibri" w:hAnsi="Calibri" w:cs="Calibri"/>
          <w:color w:val="000000" w:themeColor="text1"/>
        </w:rPr>
        <w:t xml:space="preserve">establishing a process that brings stakeholders together with BPAP/BPAT to better understand the detailed modeling assumptions and methodologies. </w:t>
      </w:r>
    </w:p>
    <w:sectPr w:rsidR="00F04FC9" w:rsidRPr="00564550" w:rsidSect="00AD4791">
      <w:footerReference w:type="even"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86B1" w14:textId="77777777" w:rsidR="004A7189" w:rsidRDefault="004A7189" w:rsidP="00D11015">
      <w:r>
        <w:separator/>
      </w:r>
    </w:p>
  </w:endnote>
  <w:endnote w:type="continuationSeparator" w:id="0">
    <w:p w14:paraId="5810E942" w14:textId="77777777" w:rsidR="004A7189" w:rsidRDefault="004A7189" w:rsidP="00D1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1AD4" w14:textId="77777777" w:rsidR="00C24A25" w:rsidRDefault="00C24A2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06A5DF8" w14:textId="77777777" w:rsidR="00C24A25" w:rsidRDefault="00C24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D757" w14:textId="77777777" w:rsidR="00C24A25" w:rsidRDefault="00C24A2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819060D" w14:textId="77777777" w:rsidR="00C24A25" w:rsidRDefault="00C24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4288" w14:textId="77777777" w:rsidR="004A7189" w:rsidRDefault="004A7189" w:rsidP="00D11015">
      <w:r>
        <w:separator/>
      </w:r>
    </w:p>
  </w:footnote>
  <w:footnote w:type="continuationSeparator" w:id="0">
    <w:p w14:paraId="6BCE6FF9" w14:textId="77777777" w:rsidR="004A7189" w:rsidRDefault="004A7189" w:rsidP="00D11015">
      <w:r>
        <w:continuationSeparator/>
      </w:r>
    </w:p>
  </w:footnote>
  <w:footnote w:id="1">
    <w:p w14:paraId="18133022" w14:textId="5BBAF674" w:rsidR="00D11015" w:rsidRDefault="00D11015">
      <w:pPr>
        <w:pStyle w:val="FootnoteText"/>
      </w:pPr>
      <w:r>
        <w:rPr>
          <w:rStyle w:val="FootnoteReference"/>
        </w:rPr>
        <w:footnoteRef/>
      </w:r>
      <w:r>
        <w:t xml:space="preserve"> The NLSL Group is comprised of </w:t>
      </w:r>
      <w:r w:rsidRPr="00D11015">
        <w:t>BPA preference customers who</w:t>
      </w:r>
      <w:r>
        <w:t xml:space="preserve"> </w:t>
      </w:r>
      <w:r w:rsidR="0036217E">
        <w:t xml:space="preserve">serve </w:t>
      </w:r>
      <w:r w:rsidR="00A4324F">
        <w:t xml:space="preserve">or expect to serve </w:t>
      </w:r>
      <w:r w:rsidRPr="00D11015">
        <w:t>retail members and customers that the Northwest Power Act categorizes as “New Large Single Loads” (NLSLs).</w:t>
      </w:r>
      <w:r>
        <w:t xml:space="preserve">  Member utilities include: </w:t>
      </w:r>
      <w:r w:rsidRPr="00D11015">
        <w:t xml:space="preserve">Umatilla Electric Cooperative, Northern Wasco County PUD, Grant PUD, PNGC Power, Emerald PUD, </w:t>
      </w:r>
      <w:r w:rsidR="00232826">
        <w:t xml:space="preserve">Klickitat PUD, </w:t>
      </w:r>
      <w:r w:rsidRPr="00D11015">
        <w:t>and Eugene Water and Electric Board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9BB"/>
    <w:multiLevelType w:val="multilevel"/>
    <w:tmpl w:val="4C44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C343A"/>
    <w:multiLevelType w:val="hybridMultilevel"/>
    <w:tmpl w:val="98E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D0E5E"/>
    <w:multiLevelType w:val="hybridMultilevel"/>
    <w:tmpl w:val="CAF6F83E"/>
    <w:lvl w:ilvl="0" w:tplc="0284E1E0">
      <w:start w:val="1"/>
      <w:numFmt w:val="bullet"/>
      <w:lvlText w:val="o"/>
      <w:lvlJc w:val="left"/>
      <w:pPr>
        <w:tabs>
          <w:tab w:val="num" w:pos="360"/>
        </w:tabs>
        <w:ind w:left="360" w:hanging="360"/>
      </w:pPr>
      <w:rPr>
        <w:rFonts w:ascii="Courier New" w:hAnsi="Courier New" w:hint="default"/>
      </w:rPr>
    </w:lvl>
    <w:lvl w:ilvl="1" w:tplc="CA0494F0">
      <w:start w:val="1"/>
      <w:numFmt w:val="bullet"/>
      <w:lvlText w:val="o"/>
      <w:lvlJc w:val="left"/>
      <w:pPr>
        <w:tabs>
          <w:tab w:val="num" w:pos="1080"/>
        </w:tabs>
        <w:ind w:left="1080" w:hanging="360"/>
      </w:pPr>
      <w:rPr>
        <w:rFonts w:ascii="Courier New" w:hAnsi="Courier New" w:hint="default"/>
      </w:rPr>
    </w:lvl>
    <w:lvl w:ilvl="2" w:tplc="618470E4" w:tentative="1">
      <w:start w:val="1"/>
      <w:numFmt w:val="bullet"/>
      <w:lvlText w:val="o"/>
      <w:lvlJc w:val="left"/>
      <w:pPr>
        <w:tabs>
          <w:tab w:val="num" w:pos="1800"/>
        </w:tabs>
        <w:ind w:left="1800" w:hanging="360"/>
      </w:pPr>
      <w:rPr>
        <w:rFonts w:ascii="Courier New" w:hAnsi="Courier New" w:hint="default"/>
      </w:rPr>
    </w:lvl>
    <w:lvl w:ilvl="3" w:tplc="65A01116" w:tentative="1">
      <w:start w:val="1"/>
      <w:numFmt w:val="bullet"/>
      <w:lvlText w:val="o"/>
      <w:lvlJc w:val="left"/>
      <w:pPr>
        <w:tabs>
          <w:tab w:val="num" w:pos="2520"/>
        </w:tabs>
        <w:ind w:left="2520" w:hanging="360"/>
      </w:pPr>
      <w:rPr>
        <w:rFonts w:ascii="Courier New" w:hAnsi="Courier New" w:hint="default"/>
      </w:rPr>
    </w:lvl>
    <w:lvl w:ilvl="4" w:tplc="CD78F60A" w:tentative="1">
      <w:start w:val="1"/>
      <w:numFmt w:val="bullet"/>
      <w:lvlText w:val="o"/>
      <w:lvlJc w:val="left"/>
      <w:pPr>
        <w:tabs>
          <w:tab w:val="num" w:pos="3240"/>
        </w:tabs>
        <w:ind w:left="3240" w:hanging="360"/>
      </w:pPr>
      <w:rPr>
        <w:rFonts w:ascii="Courier New" w:hAnsi="Courier New" w:hint="default"/>
      </w:rPr>
    </w:lvl>
    <w:lvl w:ilvl="5" w:tplc="7D129DEC" w:tentative="1">
      <w:start w:val="1"/>
      <w:numFmt w:val="bullet"/>
      <w:lvlText w:val="o"/>
      <w:lvlJc w:val="left"/>
      <w:pPr>
        <w:tabs>
          <w:tab w:val="num" w:pos="3960"/>
        </w:tabs>
        <w:ind w:left="3960" w:hanging="360"/>
      </w:pPr>
      <w:rPr>
        <w:rFonts w:ascii="Courier New" w:hAnsi="Courier New" w:hint="default"/>
      </w:rPr>
    </w:lvl>
    <w:lvl w:ilvl="6" w:tplc="F71E06A4" w:tentative="1">
      <w:start w:val="1"/>
      <w:numFmt w:val="bullet"/>
      <w:lvlText w:val="o"/>
      <w:lvlJc w:val="left"/>
      <w:pPr>
        <w:tabs>
          <w:tab w:val="num" w:pos="4680"/>
        </w:tabs>
        <w:ind w:left="4680" w:hanging="360"/>
      </w:pPr>
      <w:rPr>
        <w:rFonts w:ascii="Courier New" w:hAnsi="Courier New" w:hint="default"/>
      </w:rPr>
    </w:lvl>
    <w:lvl w:ilvl="7" w:tplc="0AA6CF02" w:tentative="1">
      <w:start w:val="1"/>
      <w:numFmt w:val="bullet"/>
      <w:lvlText w:val="o"/>
      <w:lvlJc w:val="left"/>
      <w:pPr>
        <w:tabs>
          <w:tab w:val="num" w:pos="5400"/>
        </w:tabs>
        <w:ind w:left="5400" w:hanging="360"/>
      </w:pPr>
      <w:rPr>
        <w:rFonts w:ascii="Courier New" w:hAnsi="Courier New" w:hint="default"/>
      </w:rPr>
    </w:lvl>
    <w:lvl w:ilvl="8" w:tplc="3378DAF8" w:tentative="1">
      <w:start w:val="1"/>
      <w:numFmt w:val="bullet"/>
      <w:lvlText w:val="o"/>
      <w:lvlJc w:val="left"/>
      <w:pPr>
        <w:tabs>
          <w:tab w:val="num" w:pos="6120"/>
        </w:tabs>
        <w:ind w:left="6120" w:hanging="360"/>
      </w:pPr>
      <w:rPr>
        <w:rFonts w:ascii="Courier New" w:hAnsi="Courier New" w:hint="default"/>
      </w:rPr>
    </w:lvl>
  </w:abstractNum>
  <w:abstractNum w:abstractNumId="3" w15:restartNumberingAfterBreak="0">
    <w:nsid w:val="19F512F0"/>
    <w:multiLevelType w:val="hybridMultilevel"/>
    <w:tmpl w:val="DE6EB50A"/>
    <w:lvl w:ilvl="0" w:tplc="04090001">
      <w:start w:val="1"/>
      <w:numFmt w:val="bullet"/>
      <w:lvlText w:val=""/>
      <w:lvlJc w:val="left"/>
      <w:pPr>
        <w:ind w:left="720" w:hanging="360"/>
      </w:pPr>
      <w:rPr>
        <w:rFonts w:ascii="Symbol" w:hAnsi="Symbol" w:hint="default"/>
      </w:rPr>
    </w:lvl>
    <w:lvl w:ilvl="1" w:tplc="CFF8E2A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24C8E"/>
    <w:multiLevelType w:val="hybridMultilevel"/>
    <w:tmpl w:val="527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367AB"/>
    <w:multiLevelType w:val="hybridMultilevel"/>
    <w:tmpl w:val="AA44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7414D"/>
    <w:multiLevelType w:val="multilevel"/>
    <w:tmpl w:val="D150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774501"/>
    <w:multiLevelType w:val="hybridMultilevel"/>
    <w:tmpl w:val="4B42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B6B16"/>
    <w:multiLevelType w:val="hybridMultilevel"/>
    <w:tmpl w:val="CF3A8836"/>
    <w:lvl w:ilvl="0" w:tplc="F3C0BB8C">
      <w:start w:val="1"/>
      <w:numFmt w:val="bullet"/>
      <w:lvlText w:val="o"/>
      <w:lvlJc w:val="left"/>
      <w:pPr>
        <w:tabs>
          <w:tab w:val="num" w:pos="720"/>
        </w:tabs>
        <w:ind w:left="720" w:hanging="360"/>
      </w:pPr>
      <w:rPr>
        <w:rFonts w:ascii="Courier New" w:hAnsi="Courier New" w:hint="default"/>
      </w:rPr>
    </w:lvl>
    <w:lvl w:ilvl="1" w:tplc="75E0710A">
      <w:start w:val="1"/>
      <w:numFmt w:val="bullet"/>
      <w:lvlText w:val="o"/>
      <w:lvlJc w:val="left"/>
      <w:pPr>
        <w:tabs>
          <w:tab w:val="num" w:pos="1440"/>
        </w:tabs>
        <w:ind w:left="1440" w:hanging="360"/>
      </w:pPr>
      <w:rPr>
        <w:rFonts w:ascii="Courier New" w:hAnsi="Courier New" w:hint="default"/>
      </w:rPr>
    </w:lvl>
    <w:lvl w:ilvl="2" w:tplc="1D3E5CCA" w:tentative="1">
      <w:start w:val="1"/>
      <w:numFmt w:val="bullet"/>
      <w:lvlText w:val="o"/>
      <w:lvlJc w:val="left"/>
      <w:pPr>
        <w:tabs>
          <w:tab w:val="num" w:pos="2160"/>
        </w:tabs>
        <w:ind w:left="2160" w:hanging="360"/>
      </w:pPr>
      <w:rPr>
        <w:rFonts w:ascii="Courier New" w:hAnsi="Courier New" w:hint="default"/>
      </w:rPr>
    </w:lvl>
    <w:lvl w:ilvl="3" w:tplc="3AD0CB5C" w:tentative="1">
      <w:start w:val="1"/>
      <w:numFmt w:val="bullet"/>
      <w:lvlText w:val="o"/>
      <w:lvlJc w:val="left"/>
      <w:pPr>
        <w:tabs>
          <w:tab w:val="num" w:pos="2880"/>
        </w:tabs>
        <w:ind w:left="2880" w:hanging="360"/>
      </w:pPr>
      <w:rPr>
        <w:rFonts w:ascii="Courier New" w:hAnsi="Courier New" w:hint="default"/>
      </w:rPr>
    </w:lvl>
    <w:lvl w:ilvl="4" w:tplc="056AF0F2" w:tentative="1">
      <w:start w:val="1"/>
      <w:numFmt w:val="bullet"/>
      <w:lvlText w:val="o"/>
      <w:lvlJc w:val="left"/>
      <w:pPr>
        <w:tabs>
          <w:tab w:val="num" w:pos="3600"/>
        </w:tabs>
        <w:ind w:left="3600" w:hanging="360"/>
      </w:pPr>
      <w:rPr>
        <w:rFonts w:ascii="Courier New" w:hAnsi="Courier New" w:hint="default"/>
      </w:rPr>
    </w:lvl>
    <w:lvl w:ilvl="5" w:tplc="0B28744E" w:tentative="1">
      <w:start w:val="1"/>
      <w:numFmt w:val="bullet"/>
      <w:lvlText w:val="o"/>
      <w:lvlJc w:val="left"/>
      <w:pPr>
        <w:tabs>
          <w:tab w:val="num" w:pos="4320"/>
        </w:tabs>
        <w:ind w:left="4320" w:hanging="360"/>
      </w:pPr>
      <w:rPr>
        <w:rFonts w:ascii="Courier New" w:hAnsi="Courier New" w:hint="default"/>
      </w:rPr>
    </w:lvl>
    <w:lvl w:ilvl="6" w:tplc="2EA8402A" w:tentative="1">
      <w:start w:val="1"/>
      <w:numFmt w:val="bullet"/>
      <w:lvlText w:val="o"/>
      <w:lvlJc w:val="left"/>
      <w:pPr>
        <w:tabs>
          <w:tab w:val="num" w:pos="5040"/>
        </w:tabs>
        <w:ind w:left="5040" w:hanging="360"/>
      </w:pPr>
      <w:rPr>
        <w:rFonts w:ascii="Courier New" w:hAnsi="Courier New" w:hint="default"/>
      </w:rPr>
    </w:lvl>
    <w:lvl w:ilvl="7" w:tplc="193C874C" w:tentative="1">
      <w:start w:val="1"/>
      <w:numFmt w:val="bullet"/>
      <w:lvlText w:val="o"/>
      <w:lvlJc w:val="left"/>
      <w:pPr>
        <w:tabs>
          <w:tab w:val="num" w:pos="5760"/>
        </w:tabs>
        <w:ind w:left="5760" w:hanging="360"/>
      </w:pPr>
      <w:rPr>
        <w:rFonts w:ascii="Courier New" w:hAnsi="Courier New" w:hint="default"/>
      </w:rPr>
    </w:lvl>
    <w:lvl w:ilvl="8" w:tplc="F83CA8AA"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5740756B"/>
    <w:multiLevelType w:val="multilevel"/>
    <w:tmpl w:val="C592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FD39A5"/>
    <w:multiLevelType w:val="hybridMultilevel"/>
    <w:tmpl w:val="60D0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21DB9"/>
    <w:multiLevelType w:val="multilevel"/>
    <w:tmpl w:val="D1B8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7B3D18"/>
    <w:multiLevelType w:val="hybridMultilevel"/>
    <w:tmpl w:val="FA8A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4E04E2"/>
    <w:multiLevelType w:val="hybridMultilevel"/>
    <w:tmpl w:val="9F74C5B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7D8F1D3E"/>
    <w:multiLevelType w:val="hybridMultilevel"/>
    <w:tmpl w:val="F3D60868"/>
    <w:lvl w:ilvl="0" w:tplc="CDCC879C">
      <w:start w:val="1"/>
      <w:numFmt w:val="bullet"/>
      <w:lvlText w:val="o"/>
      <w:lvlJc w:val="left"/>
      <w:pPr>
        <w:tabs>
          <w:tab w:val="num" w:pos="360"/>
        </w:tabs>
        <w:ind w:left="360" w:hanging="360"/>
      </w:pPr>
      <w:rPr>
        <w:rFonts w:ascii="Courier New" w:hAnsi="Courier New" w:hint="default"/>
      </w:rPr>
    </w:lvl>
    <w:lvl w:ilvl="1" w:tplc="0D62BB56">
      <w:start w:val="1"/>
      <w:numFmt w:val="bullet"/>
      <w:lvlText w:val="o"/>
      <w:lvlJc w:val="left"/>
      <w:pPr>
        <w:tabs>
          <w:tab w:val="num" w:pos="1080"/>
        </w:tabs>
        <w:ind w:left="1080" w:hanging="360"/>
      </w:pPr>
      <w:rPr>
        <w:rFonts w:ascii="Courier New" w:hAnsi="Courier New" w:hint="default"/>
      </w:rPr>
    </w:lvl>
    <w:lvl w:ilvl="2" w:tplc="709CAFD4" w:tentative="1">
      <w:start w:val="1"/>
      <w:numFmt w:val="bullet"/>
      <w:lvlText w:val="o"/>
      <w:lvlJc w:val="left"/>
      <w:pPr>
        <w:tabs>
          <w:tab w:val="num" w:pos="1800"/>
        </w:tabs>
        <w:ind w:left="1800" w:hanging="360"/>
      </w:pPr>
      <w:rPr>
        <w:rFonts w:ascii="Courier New" w:hAnsi="Courier New" w:hint="default"/>
      </w:rPr>
    </w:lvl>
    <w:lvl w:ilvl="3" w:tplc="E3BA1AD2" w:tentative="1">
      <w:start w:val="1"/>
      <w:numFmt w:val="bullet"/>
      <w:lvlText w:val="o"/>
      <w:lvlJc w:val="left"/>
      <w:pPr>
        <w:tabs>
          <w:tab w:val="num" w:pos="2520"/>
        </w:tabs>
        <w:ind w:left="2520" w:hanging="360"/>
      </w:pPr>
      <w:rPr>
        <w:rFonts w:ascii="Courier New" w:hAnsi="Courier New" w:hint="default"/>
      </w:rPr>
    </w:lvl>
    <w:lvl w:ilvl="4" w:tplc="56BC02A2" w:tentative="1">
      <w:start w:val="1"/>
      <w:numFmt w:val="bullet"/>
      <w:lvlText w:val="o"/>
      <w:lvlJc w:val="left"/>
      <w:pPr>
        <w:tabs>
          <w:tab w:val="num" w:pos="3240"/>
        </w:tabs>
        <w:ind w:left="3240" w:hanging="360"/>
      </w:pPr>
      <w:rPr>
        <w:rFonts w:ascii="Courier New" w:hAnsi="Courier New" w:hint="default"/>
      </w:rPr>
    </w:lvl>
    <w:lvl w:ilvl="5" w:tplc="7A6E2EA0" w:tentative="1">
      <w:start w:val="1"/>
      <w:numFmt w:val="bullet"/>
      <w:lvlText w:val="o"/>
      <w:lvlJc w:val="left"/>
      <w:pPr>
        <w:tabs>
          <w:tab w:val="num" w:pos="3960"/>
        </w:tabs>
        <w:ind w:left="3960" w:hanging="360"/>
      </w:pPr>
      <w:rPr>
        <w:rFonts w:ascii="Courier New" w:hAnsi="Courier New" w:hint="default"/>
      </w:rPr>
    </w:lvl>
    <w:lvl w:ilvl="6" w:tplc="0B588984" w:tentative="1">
      <w:start w:val="1"/>
      <w:numFmt w:val="bullet"/>
      <w:lvlText w:val="o"/>
      <w:lvlJc w:val="left"/>
      <w:pPr>
        <w:tabs>
          <w:tab w:val="num" w:pos="4680"/>
        </w:tabs>
        <w:ind w:left="4680" w:hanging="360"/>
      </w:pPr>
      <w:rPr>
        <w:rFonts w:ascii="Courier New" w:hAnsi="Courier New" w:hint="default"/>
      </w:rPr>
    </w:lvl>
    <w:lvl w:ilvl="7" w:tplc="33628514" w:tentative="1">
      <w:start w:val="1"/>
      <w:numFmt w:val="bullet"/>
      <w:lvlText w:val="o"/>
      <w:lvlJc w:val="left"/>
      <w:pPr>
        <w:tabs>
          <w:tab w:val="num" w:pos="5400"/>
        </w:tabs>
        <w:ind w:left="5400" w:hanging="360"/>
      </w:pPr>
      <w:rPr>
        <w:rFonts w:ascii="Courier New" w:hAnsi="Courier New" w:hint="default"/>
      </w:rPr>
    </w:lvl>
    <w:lvl w:ilvl="8" w:tplc="EC4EEC68" w:tentative="1">
      <w:start w:val="1"/>
      <w:numFmt w:val="bullet"/>
      <w:lvlText w:val="o"/>
      <w:lvlJc w:val="left"/>
      <w:pPr>
        <w:tabs>
          <w:tab w:val="num" w:pos="6120"/>
        </w:tabs>
        <w:ind w:left="6120" w:hanging="360"/>
      </w:pPr>
      <w:rPr>
        <w:rFonts w:ascii="Courier New" w:hAnsi="Courier New" w:hint="default"/>
      </w:rPr>
    </w:lvl>
  </w:abstractNum>
  <w:num w:numId="1" w16cid:durableId="1310404537">
    <w:abstractNumId w:val="11"/>
  </w:num>
  <w:num w:numId="2" w16cid:durableId="1709180951">
    <w:abstractNumId w:val="5"/>
  </w:num>
  <w:num w:numId="3" w16cid:durableId="985627338">
    <w:abstractNumId w:val="13"/>
  </w:num>
  <w:num w:numId="4" w16cid:durableId="389422023">
    <w:abstractNumId w:val="9"/>
  </w:num>
  <w:num w:numId="5" w16cid:durableId="1354650022">
    <w:abstractNumId w:val="6"/>
  </w:num>
  <w:num w:numId="6" w16cid:durableId="1542669004">
    <w:abstractNumId w:val="0"/>
  </w:num>
  <w:num w:numId="7" w16cid:durableId="887650362">
    <w:abstractNumId w:val="8"/>
  </w:num>
  <w:num w:numId="8" w16cid:durableId="1716151320">
    <w:abstractNumId w:val="14"/>
  </w:num>
  <w:num w:numId="9" w16cid:durableId="1010837499">
    <w:abstractNumId w:val="2"/>
  </w:num>
  <w:num w:numId="10" w16cid:durableId="311569931">
    <w:abstractNumId w:val="4"/>
  </w:num>
  <w:num w:numId="11" w16cid:durableId="1428892967">
    <w:abstractNumId w:val="10"/>
  </w:num>
  <w:num w:numId="12" w16cid:durableId="231622099">
    <w:abstractNumId w:val="12"/>
  </w:num>
  <w:num w:numId="13" w16cid:durableId="1534074822">
    <w:abstractNumId w:val="3"/>
  </w:num>
  <w:num w:numId="14" w16cid:durableId="1921868007">
    <w:abstractNumId w:val="7"/>
  </w:num>
  <w:num w:numId="15" w16cid:durableId="1847474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0A"/>
    <w:rsid w:val="00010885"/>
    <w:rsid w:val="0005102A"/>
    <w:rsid w:val="00052442"/>
    <w:rsid w:val="000652AE"/>
    <w:rsid w:val="00071175"/>
    <w:rsid w:val="00082E0D"/>
    <w:rsid w:val="000D36AB"/>
    <w:rsid w:val="000D7CC6"/>
    <w:rsid w:val="0010269E"/>
    <w:rsid w:val="00107F25"/>
    <w:rsid w:val="00112D59"/>
    <w:rsid w:val="00115AF4"/>
    <w:rsid w:val="001167A4"/>
    <w:rsid w:val="00116FE8"/>
    <w:rsid w:val="00117D4C"/>
    <w:rsid w:val="00160237"/>
    <w:rsid w:val="001655D9"/>
    <w:rsid w:val="00194F1F"/>
    <w:rsid w:val="001D4291"/>
    <w:rsid w:val="001D6E86"/>
    <w:rsid w:val="001F4104"/>
    <w:rsid w:val="001F4252"/>
    <w:rsid w:val="001F5739"/>
    <w:rsid w:val="0021096A"/>
    <w:rsid w:val="00220723"/>
    <w:rsid w:val="0022339C"/>
    <w:rsid w:val="00223AC4"/>
    <w:rsid w:val="00232826"/>
    <w:rsid w:val="00266187"/>
    <w:rsid w:val="0026710E"/>
    <w:rsid w:val="0027579B"/>
    <w:rsid w:val="00280699"/>
    <w:rsid w:val="0028396B"/>
    <w:rsid w:val="002E135E"/>
    <w:rsid w:val="002E3C9C"/>
    <w:rsid w:val="002E3FD8"/>
    <w:rsid w:val="003053E9"/>
    <w:rsid w:val="003064D1"/>
    <w:rsid w:val="0031089E"/>
    <w:rsid w:val="003124DB"/>
    <w:rsid w:val="00314757"/>
    <w:rsid w:val="0036217E"/>
    <w:rsid w:val="003626B2"/>
    <w:rsid w:val="00366C30"/>
    <w:rsid w:val="003710B9"/>
    <w:rsid w:val="00371D30"/>
    <w:rsid w:val="003763EB"/>
    <w:rsid w:val="00380BCA"/>
    <w:rsid w:val="003968E2"/>
    <w:rsid w:val="003B04F1"/>
    <w:rsid w:val="003C440E"/>
    <w:rsid w:val="003E3337"/>
    <w:rsid w:val="004004D5"/>
    <w:rsid w:val="004008D5"/>
    <w:rsid w:val="00407B18"/>
    <w:rsid w:val="004111EC"/>
    <w:rsid w:val="0042035F"/>
    <w:rsid w:val="00420C53"/>
    <w:rsid w:val="004301A9"/>
    <w:rsid w:val="00437D72"/>
    <w:rsid w:val="00460C04"/>
    <w:rsid w:val="00460DF3"/>
    <w:rsid w:val="004678F0"/>
    <w:rsid w:val="00481979"/>
    <w:rsid w:val="004A7189"/>
    <w:rsid w:val="004B697C"/>
    <w:rsid w:val="004F5082"/>
    <w:rsid w:val="00513564"/>
    <w:rsid w:val="00526EA2"/>
    <w:rsid w:val="005327C5"/>
    <w:rsid w:val="00542C3A"/>
    <w:rsid w:val="00543237"/>
    <w:rsid w:val="00564550"/>
    <w:rsid w:val="00581476"/>
    <w:rsid w:val="00594AA2"/>
    <w:rsid w:val="00595D4C"/>
    <w:rsid w:val="005A3C3E"/>
    <w:rsid w:val="005B518C"/>
    <w:rsid w:val="005D472F"/>
    <w:rsid w:val="005E1899"/>
    <w:rsid w:val="005F0E97"/>
    <w:rsid w:val="00600ACA"/>
    <w:rsid w:val="0060204F"/>
    <w:rsid w:val="00612DBE"/>
    <w:rsid w:val="00650156"/>
    <w:rsid w:val="0065623B"/>
    <w:rsid w:val="0065704C"/>
    <w:rsid w:val="00664A8E"/>
    <w:rsid w:val="00673CF1"/>
    <w:rsid w:val="00675522"/>
    <w:rsid w:val="00681DDF"/>
    <w:rsid w:val="006859C7"/>
    <w:rsid w:val="006907AB"/>
    <w:rsid w:val="006948BC"/>
    <w:rsid w:val="006A5E40"/>
    <w:rsid w:val="006B01A1"/>
    <w:rsid w:val="006B10D9"/>
    <w:rsid w:val="006B4B34"/>
    <w:rsid w:val="006E022F"/>
    <w:rsid w:val="00733799"/>
    <w:rsid w:val="007449E0"/>
    <w:rsid w:val="007671E8"/>
    <w:rsid w:val="007A5D2A"/>
    <w:rsid w:val="007B6260"/>
    <w:rsid w:val="007D0D44"/>
    <w:rsid w:val="007D1D3C"/>
    <w:rsid w:val="007F1EF5"/>
    <w:rsid w:val="007F6237"/>
    <w:rsid w:val="007F6F0A"/>
    <w:rsid w:val="00823045"/>
    <w:rsid w:val="00824308"/>
    <w:rsid w:val="008357B3"/>
    <w:rsid w:val="00841655"/>
    <w:rsid w:val="00855E23"/>
    <w:rsid w:val="008567B2"/>
    <w:rsid w:val="008647C2"/>
    <w:rsid w:val="00894551"/>
    <w:rsid w:val="008A7425"/>
    <w:rsid w:val="008F6513"/>
    <w:rsid w:val="009320E1"/>
    <w:rsid w:val="009423BF"/>
    <w:rsid w:val="009553B3"/>
    <w:rsid w:val="0097320F"/>
    <w:rsid w:val="0098655D"/>
    <w:rsid w:val="00996AEF"/>
    <w:rsid w:val="009A02D8"/>
    <w:rsid w:val="009D2BA0"/>
    <w:rsid w:val="009D6148"/>
    <w:rsid w:val="009E7B44"/>
    <w:rsid w:val="00A14FBA"/>
    <w:rsid w:val="00A16853"/>
    <w:rsid w:val="00A2116D"/>
    <w:rsid w:val="00A31AED"/>
    <w:rsid w:val="00A4324F"/>
    <w:rsid w:val="00A43D57"/>
    <w:rsid w:val="00A71511"/>
    <w:rsid w:val="00A913BB"/>
    <w:rsid w:val="00AA05D8"/>
    <w:rsid w:val="00AC63CB"/>
    <w:rsid w:val="00AD0CA4"/>
    <w:rsid w:val="00AD4791"/>
    <w:rsid w:val="00AD7DF9"/>
    <w:rsid w:val="00AE3D20"/>
    <w:rsid w:val="00AF082A"/>
    <w:rsid w:val="00B01715"/>
    <w:rsid w:val="00B13B7E"/>
    <w:rsid w:val="00B575FF"/>
    <w:rsid w:val="00B6444F"/>
    <w:rsid w:val="00B7179C"/>
    <w:rsid w:val="00B912A9"/>
    <w:rsid w:val="00BB2DF5"/>
    <w:rsid w:val="00BC7EED"/>
    <w:rsid w:val="00C117CF"/>
    <w:rsid w:val="00C1368A"/>
    <w:rsid w:val="00C15DC7"/>
    <w:rsid w:val="00C164FD"/>
    <w:rsid w:val="00C24A25"/>
    <w:rsid w:val="00C42597"/>
    <w:rsid w:val="00C54C73"/>
    <w:rsid w:val="00C6173D"/>
    <w:rsid w:val="00C631B7"/>
    <w:rsid w:val="00C65725"/>
    <w:rsid w:val="00C944F9"/>
    <w:rsid w:val="00CA07FC"/>
    <w:rsid w:val="00CB32DC"/>
    <w:rsid w:val="00CE1587"/>
    <w:rsid w:val="00D013AF"/>
    <w:rsid w:val="00D11015"/>
    <w:rsid w:val="00D1670E"/>
    <w:rsid w:val="00D20F7C"/>
    <w:rsid w:val="00D27FDF"/>
    <w:rsid w:val="00D436BD"/>
    <w:rsid w:val="00D454CE"/>
    <w:rsid w:val="00D45C47"/>
    <w:rsid w:val="00D64C08"/>
    <w:rsid w:val="00D7237E"/>
    <w:rsid w:val="00D921E7"/>
    <w:rsid w:val="00D94A50"/>
    <w:rsid w:val="00DA0A35"/>
    <w:rsid w:val="00DA2E66"/>
    <w:rsid w:val="00DB2722"/>
    <w:rsid w:val="00DB5C5F"/>
    <w:rsid w:val="00DD0154"/>
    <w:rsid w:val="00DD6EA3"/>
    <w:rsid w:val="00DE27A4"/>
    <w:rsid w:val="00DE4FE5"/>
    <w:rsid w:val="00DF152D"/>
    <w:rsid w:val="00E3627B"/>
    <w:rsid w:val="00E454E1"/>
    <w:rsid w:val="00E60AEC"/>
    <w:rsid w:val="00E67133"/>
    <w:rsid w:val="00E90B0A"/>
    <w:rsid w:val="00EA7400"/>
    <w:rsid w:val="00EB1048"/>
    <w:rsid w:val="00F04FC9"/>
    <w:rsid w:val="00F12A79"/>
    <w:rsid w:val="00F20EDB"/>
    <w:rsid w:val="00F766DD"/>
    <w:rsid w:val="00FB50B9"/>
    <w:rsid w:val="00FB7C21"/>
    <w:rsid w:val="00FC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9093"/>
  <w15:chartTrackingRefBased/>
  <w15:docId w15:val="{8D3ECAC3-3491-2744-8BFE-CE7D20A4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6F0A"/>
  </w:style>
  <w:style w:type="character" w:styleId="Hyperlink">
    <w:name w:val="Hyperlink"/>
    <w:basedOn w:val="DefaultParagraphFont"/>
    <w:uiPriority w:val="99"/>
    <w:semiHidden/>
    <w:unhideWhenUsed/>
    <w:rsid w:val="007F6F0A"/>
    <w:rPr>
      <w:color w:val="0000FF"/>
      <w:u w:val="single"/>
    </w:rPr>
  </w:style>
  <w:style w:type="paragraph" w:styleId="ListParagraph">
    <w:name w:val="List Paragraph"/>
    <w:basedOn w:val="Normal"/>
    <w:uiPriority w:val="34"/>
    <w:qFormat/>
    <w:rsid w:val="007F6F0A"/>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rsid w:val="00DA0A35"/>
    <w:rPr>
      <w:rFonts w:ascii="Times New Roman" w:hAnsi="Times New Roman" w:cs="Times New Roman"/>
    </w:rPr>
  </w:style>
  <w:style w:type="character" w:styleId="CommentReference">
    <w:name w:val="annotation reference"/>
    <w:basedOn w:val="DefaultParagraphFont"/>
    <w:uiPriority w:val="99"/>
    <w:semiHidden/>
    <w:unhideWhenUsed/>
    <w:rsid w:val="00A71511"/>
    <w:rPr>
      <w:sz w:val="16"/>
      <w:szCs w:val="16"/>
    </w:rPr>
  </w:style>
  <w:style w:type="paragraph" w:styleId="CommentText">
    <w:name w:val="annotation text"/>
    <w:basedOn w:val="Normal"/>
    <w:link w:val="CommentTextChar"/>
    <w:uiPriority w:val="99"/>
    <w:unhideWhenUsed/>
    <w:rsid w:val="00A71511"/>
    <w:rPr>
      <w:sz w:val="20"/>
      <w:szCs w:val="20"/>
    </w:rPr>
  </w:style>
  <w:style w:type="character" w:customStyle="1" w:styleId="CommentTextChar">
    <w:name w:val="Comment Text Char"/>
    <w:basedOn w:val="DefaultParagraphFont"/>
    <w:link w:val="CommentText"/>
    <w:uiPriority w:val="99"/>
    <w:rsid w:val="00A71511"/>
    <w:rPr>
      <w:sz w:val="20"/>
      <w:szCs w:val="20"/>
    </w:rPr>
  </w:style>
  <w:style w:type="paragraph" w:styleId="CommentSubject">
    <w:name w:val="annotation subject"/>
    <w:basedOn w:val="CommentText"/>
    <w:next w:val="CommentText"/>
    <w:link w:val="CommentSubjectChar"/>
    <w:uiPriority w:val="99"/>
    <w:semiHidden/>
    <w:unhideWhenUsed/>
    <w:rsid w:val="00A71511"/>
    <w:rPr>
      <w:b/>
      <w:bCs/>
    </w:rPr>
  </w:style>
  <w:style w:type="character" w:customStyle="1" w:styleId="CommentSubjectChar">
    <w:name w:val="Comment Subject Char"/>
    <w:basedOn w:val="CommentTextChar"/>
    <w:link w:val="CommentSubject"/>
    <w:uiPriority w:val="99"/>
    <w:semiHidden/>
    <w:rsid w:val="00A71511"/>
    <w:rPr>
      <w:b/>
      <w:bCs/>
      <w:sz w:val="20"/>
      <w:szCs w:val="20"/>
    </w:rPr>
  </w:style>
  <w:style w:type="paragraph" w:styleId="Revision">
    <w:name w:val="Revision"/>
    <w:hidden/>
    <w:uiPriority w:val="99"/>
    <w:semiHidden/>
    <w:rsid w:val="001D6E86"/>
  </w:style>
  <w:style w:type="paragraph" w:styleId="FootnoteText">
    <w:name w:val="footnote text"/>
    <w:basedOn w:val="Normal"/>
    <w:link w:val="FootnoteTextChar"/>
    <w:uiPriority w:val="99"/>
    <w:semiHidden/>
    <w:unhideWhenUsed/>
    <w:rsid w:val="00D11015"/>
    <w:rPr>
      <w:sz w:val="20"/>
      <w:szCs w:val="20"/>
    </w:rPr>
  </w:style>
  <w:style w:type="character" w:customStyle="1" w:styleId="FootnoteTextChar">
    <w:name w:val="Footnote Text Char"/>
    <w:basedOn w:val="DefaultParagraphFont"/>
    <w:link w:val="FootnoteText"/>
    <w:uiPriority w:val="99"/>
    <w:semiHidden/>
    <w:rsid w:val="00D11015"/>
    <w:rPr>
      <w:sz w:val="20"/>
      <w:szCs w:val="20"/>
    </w:rPr>
  </w:style>
  <w:style w:type="character" w:styleId="FootnoteReference">
    <w:name w:val="footnote reference"/>
    <w:basedOn w:val="DefaultParagraphFont"/>
    <w:uiPriority w:val="99"/>
    <w:semiHidden/>
    <w:unhideWhenUsed/>
    <w:rsid w:val="00D11015"/>
    <w:rPr>
      <w:vertAlign w:val="superscript"/>
    </w:rPr>
  </w:style>
  <w:style w:type="paragraph" w:styleId="Header">
    <w:name w:val="header"/>
    <w:basedOn w:val="Normal"/>
    <w:link w:val="HeaderChar"/>
    <w:uiPriority w:val="99"/>
    <w:unhideWhenUsed/>
    <w:rsid w:val="00C24A25"/>
    <w:pPr>
      <w:tabs>
        <w:tab w:val="center" w:pos="4680"/>
        <w:tab w:val="right" w:pos="9360"/>
      </w:tabs>
    </w:pPr>
  </w:style>
  <w:style w:type="character" w:customStyle="1" w:styleId="HeaderChar">
    <w:name w:val="Header Char"/>
    <w:basedOn w:val="DefaultParagraphFont"/>
    <w:link w:val="Header"/>
    <w:uiPriority w:val="99"/>
    <w:rsid w:val="00C24A25"/>
  </w:style>
  <w:style w:type="paragraph" w:styleId="Footer">
    <w:name w:val="footer"/>
    <w:basedOn w:val="Normal"/>
    <w:link w:val="FooterChar"/>
    <w:uiPriority w:val="99"/>
    <w:unhideWhenUsed/>
    <w:rsid w:val="00C24A25"/>
    <w:pPr>
      <w:tabs>
        <w:tab w:val="center" w:pos="4680"/>
        <w:tab w:val="right" w:pos="9360"/>
      </w:tabs>
    </w:pPr>
  </w:style>
  <w:style w:type="character" w:customStyle="1" w:styleId="FooterChar">
    <w:name w:val="Footer Char"/>
    <w:basedOn w:val="DefaultParagraphFont"/>
    <w:link w:val="Footer"/>
    <w:uiPriority w:val="99"/>
    <w:rsid w:val="00C24A25"/>
  </w:style>
  <w:style w:type="table" w:styleId="TableGrid">
    <w:name w:val="Table Grid"/>
    <w:basedOn w:val="TableNormal"/>
    <w:uiPriority w:val="39"/>
    <w:rsid w:val="00532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3444">
      <w:bodyDiv w:val="1"/>
      <w:marLeft w:val="0"/>
      <w:marRight w:val="0"/>
      <w:marTop w:val="0"/>
      <w:marBottom w:val="0"/>
      <w:divBdr>
        <w:top w:val="none" w:sz="0" w:space="0" w:color="auto"/>
        <w:left w:val="none" w:sz="0" w:space="0" w:color="auto"/>
        <w:bottom w:val="none" w:sz="0" w:space="0" w:color="auto"/>
        <w:right w:val="none" w:sz="0" w:space="0" w:color="auto"/>
      </w:divBdr>
    </w:div>
    <w:div w:id="295642306">
      <w:bodyDiv w:val="1"/>
      <w:marLeft w:val="0"/>
      <w:marRight w:val="0"/>
      <w:marTop w:val="0"/>
      <w:marBottom w:val="0"/>
      <w:divBdr>
        <w:top w:val="none" w:sz="0" w:space="0" w:color="auto"/>
        <w:left w:val="none" w:sz="0" w:space="0" w:color="auto"/>
        <w:bottom w:val="none" w:sz="0" w:space="0" w:color="auto"/>
        <w:right w:val="none" w:sz="0" w:space="0" w:color="auto"/>
      </w:divBdr>
      <w:divsChild>
        <w:div w:id="576137302">
          <w:marLeft w:val="0"/>
          <w:marRight w:val="0"/>
          <w:marTop w:val="0"/>
          <w:marBottom w:val="0"/>
          <w:divBdr>
            <w:top w:val="none" w:sz="0" w:space="0" w:color="auto"/>
            <w:left w:val="none" w:sz="0" w:space="0" w:color="auto"/>
            <w:bottom w:val="none" w:sz="0" w:space="0" w:color="auto"/>
            <w:right w:val="none" w:sz="0" w:space="0" w:color="auto"/>
          </w:divBdr>
          <w:divsChild>
            <w:div w:id="706562484">
              <w:marLeft w:val="0"/>
              <w:marRight w:val="0"/>
              <w:marTop w:val="0"/>
              <w:marBottom w:val="0"/>
              <w:divBdr>
                <w:top w:val="none" w:sz="0" w:space="0" w:color="auto"/>
                <w:left w:val="none" w:sz="0" w:space="0" w:color="auto"/>
                <w:bottom w:val="none" w:sz="0" w:space="0" w:color="auto"/>
                <w:right w:val="none" w:sz="0" w:space="0" w:color="auto"/>
              </w:divBdr>
              <w:divsChild>
                <w:div w:id="14663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7432">
      <w:bodyDiv w:val="1"/>
      <w:marLeft w:val="0"/>
      <w:marRight w:val="0"/>
      <w:marTop w:val="0"/>
      <w:marBottom w:val="0"/>
      <w:divBdr>
        <w:top w:val="none" w:sz="0" w:space="0" w:color="auto"/>
        <w:left w:val="none" w:sz="0" w:space="0" w:color="auto"/>
        <w:bottom w:val="none" w:sz="0" w:space="0" w:color="auto"/>
        <w:right w:val="none" w:sz="0" w:space="0" w:color="auto"/>
      </w:divBdr>
    </w:div>
    <w:div w:id="530142869">
      <w:bodyDiv w:val="1"/>
      <w:marLeft w:val="0"/>
      <w:marRight w:val="0"/>
      <w:marTop w:val="0"/>
      <w:marBottom w:val="0"/>
      <w:divBdr>
        <w:top w:val="none" w:sz="0" w:space="0" w:color="auto"/>
        <w:left w:val="none" w:sz="0" w:space="0" w:color="auto"/>
        <w:bottom w:val="none" w:sz="0" w:space="0" w:color="auto"/>
        <w:right w:val="none" w:sz="0" w:space="0" w:color="auto"/>
      </w:divBdr>
    </w:div>
    <w:div w:id="571701888">
      <w:bodyDiv w:val="1"/>
      <w:marLeft w:val="0"/>
      <w:marRight w:val="0"/>
      <w:marTop w:val="0"/>
      <w:marBottom w:val="0"/>
      <w:divBdr>
        <w:top w:val="none" w:sz="0" w:space="0" w:color="auto"/>
        <w:left w:val="none" w:sz="0" w:space="0" w:color="auto"/>
        <w:bottom w:val="none" w:sz="0" w:space="0" w:color="auto"/>
        <w:right w:val="none" w:sz="0" w:space="0" w:color="auto"/>
      </w:divBdr>
    </w:div>
    <w:div w:id="792796485">
      <w:bodyDiv w:val="1"/>
      <w:marLeft w:val="0"/>
      <w:marRight w:val="0"/>
      <w:marTop w:val="0"/>
      <w:marBottom w:val="0"/>
      <w:divBdr>
        <w:top w:val="none" w:sz="0" w:space="0" w:color="auto"/>
        <w:left w:val="none" w:sz="0" w:space="0" w:color="auto"/>
        <w:bottom w:val="none" w:sz="0" w:space="0" w:color="auto"/>
        <w:right w:val="none" w:sz="0" w:space="0" w:color="auto"/>
      </w:divBdr>
    </w:div>
    <w:div w:id="854612136">
      <w:bodyDiv w:val="1"/>
      <w:marLeft w:val="0"/>
      <w:marRight w:val="0"/>
      <w:marTop w:val="0"/>
      <w:marBottom w:val="0"/>
      <w:divBdr>
        <w:top w:val="none" w:sz="0" w:space="0" w:color="auto"/>
        <w:left w:val="none" w:sz="0" w:space="0" w:color="auto"/>
        <w:bottom w:val="none" w:sz="0" w:space="0" w:color="auto"/>
        <w:right w:val="none" w:sz="0" w:space="0" w:color="auto"/>
      </w:divBdr>
      <w:divsChild>
        <w:div w:id="1229653928">
          <w:marLeft w:val="0"/>
          <w:marRight w:val="0"/>
          <w:marTop w:val="0"/>
          <w:marBottom w:val="0"/>
          <w:divBdr>
            <w:top w:val="none" w:sz="0" w:space="0" w:color="auto"/>
            <w:left w:val="none" w:sz="0" w:space="0" w:color="auto"/>
            <w:bottom w:val="none" w:sz="0" w:space="0" w:color="auto"/>
            <w:right w:val="none" w:sz="0" w:space="0" w:color="auto"/>
          </w:divBdr>
          <w:divsChild>
            <w:div w:id="150608523">
              <w:marLeft w:val="0"/>
              <w:marRight w:val="0"/>
              <w:marTop w:val="0"/>
              <w:marBottom w:val="0"/>
              <w:divBdr>
                <w:top w:val="none" w:sz="0" w:space="0" w:color="auto"/>
                <w:left w:val="none" w:sz="0" w:space="0" w:color="auto"/>
                <w:bottom w:val="none" w:sz="0" w:space="0" w:color="auto"/>
                <w:right w:val="none" w:sz="0" w:space="0" w:color="auto"/>
              </w:divBdr>
              <w:divsChild>
                <w:div w:id="6895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542">
      <w:bodyDiv w:val="1"/>
      <w:marLeft w:val="0"/>
      <w:marRight w:val="0"/>
      <w:marTop w:val="0"/>
      <w:marBottom w:val="0"/>
      <w:divBdr>
        <w:top w:val="none" w:sz="0" w:space="0" w:color="auto"/>
        <w:left w:val="none" w:sz="0" w:space="0" w:color="auto"/>
        <w:bottom w:val="none" w:sz="0" w:space="0" w:color="auto"/>
        <w:right w:val="none" w:sz="0" w:space="0" w:color="auto"/>
      </w:divBdr>
    </w:div>
    <w:div w:id="1174539586">
      <w:bodyDiv w:val="1"/>
      <w:marLeft w:val="0"/>
      <w:marRight w:val="0"/>
      <w:marTop w:val="0"/>
      <w:marBottom w:val="0"/>
      <w:divBdr>
        <w:top w:val="none" w:sz="0" w:space="0" w:color="auto"/>
        <w:left w:val="none" w:sz="0" w:space="0" w:color="auto"/>
        <w:bottom w:val="none" w:sz="0" w:space="0" w:color="auto"/>
        <w:right w:val="none" w:sz="0" w:space="0" w:color="auto"/>
      </w:divBdr>
      <w:divsChild>
        <w:div w:id="1070300968">
          <w:marLeft w:val="1166"/>
          <w:marRight w:val="0"/>
          <w:marTop w:val="200"/>
          <w:marBottom w:val="0"/>
          <w:divBdr>
            <w:top w:val="none" w:sz="0" w:space="0" w:color="auto"/>
            <w:left w:val="none" w:sz="0" w:space="0" w:color="auto"/>
            <w:bottom w:val="none" w:sz="0" w:space="0" w:color="auto"/>
            <w:right w:val="none" w:sz="0" w:space="0" w:color="auto"/>
          </w:divBdr>
        </w:div>
      </w:divsChild>
    </w:div>
    <w:div w:id="1260724431">
      <w:bodyDiv w:val="1"/>
      <w:marLeft w:val="0"/>
      <w:marRight w:val="0"/>
      <w:marTop w:val="0"/>
      <w:marBottom w:val="0"/>
      <w:divBdr>
        <w:top w:val="none" w:sz="0" w:space="0" w:color="auto"/>
        <w:left w:val="none" w:sz="0" w:space="0" w:color="auto"/>
        <w:bottom w:val="none" w:sz="0" w:space="0" w:color="auto"/>
        <w:right w:val="none" w:sz="0" w:space="0" w:color="auto"/>
      </w:divBdr>
    </w:div>
    <w:div w:id="1299995234">
      <w:bodyDiv w:val="1"/>
      <w:marLeft w:val="0"/>
      <w:marRight w:val="0"/>
      <w:marTop w:val="0"/>
      <w:marBottom w:val="0"/>
      <w:divBdr>
        <w:top w:val="none" w:sz="0" w:space="0" w:color="auto"/>
        <w:left w:val="none" w:sz="0" w:space="0" w:color="auto"/>
        <w:bottom w:val="none" w:sz="0" w:space="0" w:color="auto"/>
        <w:right w:val="none" w:sz="0" w:space="0" w:color="auto"/>
      </w:divBdr>
      <w:divsChild>
        <w:div w:id="1762872514">
          <w:marLeft w:val="0"/>
          <w:marRight w:val="0"/>
          <w:marTop w:val="0"/>
          <w:marBottom w:val="0"/>
          <w:divBdr>
            <w:top w:val="none" w:sz="0" w:space="0" w:color="auto"/>
            <w:left w:val="none" w:sz="0" w:space="0" w:color="auto"/>
            <w:bottom w:val="none" w:sz="0" w:space="0" w:color="auto"/>
            <w:right w:val="none" w:sz="0" w:space="0" w:color="auto"/>
          </w:divBdr>
          <w:divsChild>
            <w:div w:id="1077633410">
              <w:marLeft w:val="0"/>
              <w:marRight w:val="0"/>
              <w:marTop w:val="0"/>
              <w:marBottom w:val="0"/>
              <w:divBdr>
                <w:top w:val="none" w:sz="0" w:space="0" w:color="auto"/>
                <w:left w:val="none" w:sz="0" w:space="0" w:color="auto"/>
                <w:bottom w:val="none" w:sz="0" w:space="0" w:color="auto"/>
                <w:right w:val="none" w:sz="0" w:space="0" w:color="auto"/>
              </w:divBdr>
              <w:divsChild>
                <w:div w:id="10527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87500">
      <w:bodyDiv w:val="1"/>
      <w:marLeft w:val="0"/>
      <w:marRight w:val="0"/>
      <w:marTop w:val="0"/>
      <w:marBottom w:val="0"/>
      <w:divBdr>
        <w:top w:val="none" w:sz="0" w:space="0" w:color="auto"/>
        <w:left w:val="none" w:sz="0" w:space="0" w:color="auto"/>
        <w:bottom w:val="none" w:sz="0" w:space="0" w:color="auto"/>
        <w:right w:val="none" w:sz="0" w:space="0" w:color="auto"/>
      </w:divBdr>
      <w:divsChild>
        <w:div w:id="579095439">
          <w:marLeft w:val="0"/>
          <w:marRight w:val="0"/>
          <w:marTop w:val="0"/>
          <w:marBottom w:val="0"/>
          <w:divBdr>
            <w:top w:val="none" w:sz="0" w:space="0" w:color="auto"/>
            <w:left w:val="none" w:sz="0" w:space="0" w:color="auto"/>
            <w:bottom w:val="none" w:sz="0" w:space="0" w:color="auto"/>
            <w:right w:val="none" w:sz="0" w:space="0" w:color="auto"/>
          </w:divBdr>
          <w:divsChild>
            <w:div w:id="1891265034">
              <w:marLeft w:val="0"/>
              <w:marRight w:val="0"/>
              <w:marTop w:val="0"/>
              <w:marBottom w:val="0"/>
              <w:divBdr>
                <w:top w:val="none" w:sz="0" w:space="0" w:color="auto"/>
                <w:left w:val="none" w:sz="0" w:space="0" w:color="auto"/>
                <w:bottom w:val="none" w:sz="0" w:space="0" w:color="auto"/>
                <w:right w:val="none" w:sz="0" w:space="0" w:color="auto"/>
              </w:divBdr>
              <w:divsChild>
                <w:div w:id="146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03272">
      <w:bodyDiv w:val="1"/>
      <w:marLeft w:val="0"/>
      <w:marRight w:val="0"/>
      <w:marTop w:val="0"/>
      <w:marBottom w:val="0"/>
      <w:divBdr>
        <w:top w:val="none" w:sz="0" w:space="0" w:color="auto"/>
        <w:left w:val="none" w:sz="0" w:space="0" w:color="auto"/>
        <w:bottom w:val="none" w:sz="0" w:space="0" w:color="auto"/>
        <w:right w:val="none" w:sz="0" w:space="0" w:color="auto"/>
      </w:divBdr>
      <w:divsChild>
        <w:div w:id="434910724">
          <w:marLeft w:val="0"/>
          <w:marRight w:val="0"/>
          <w:marTop w:val="0"/>
          <w:marBottom w:val="0"/>
          <w:divBdr>
            <w:top w:val="none" w:sz="0" w:space="0" w:color="auto"/>
            <w:left w:val="none" w:sz="0" w:space="0" w:color="auto"/>
            <w:bottom w:val="none" w:sz="0" w:space="0" w:color="auto"/>
            <w:right w:val="none" w:sz="0" w:space="0" w:color="auto"/>
          </w:divBdr>
          <w:divsChild>
            <w:div w:id="229774405">
              <w:marLeft w:val="0"/>
              <w:marRight w:val="0"/>
              <w:marTop w:val="0"/>
              <w:marBottom w:val="0"/>
              <w:divBdr>
                <w:top w:val="none" w:sz="0" w:space="0" w:color="auto"/>
                <w:left w:val="none" w:sz="0" w:space="0" w:color="auto"/>
                <w:bottom w:val="none" w:sz="0" w:space="0" w:color="auto"/>
                <w:right w:val="none" w:sz="0" w:space="0" w:color="auto"/>
              </w:divBdr>
              <w:divsChild>
                <w:div w:id="33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78559">
      <w:bodyDiv w:val="1"/>
      <w:marLeft w:val="0"/>
      <w:marRight w:val="0"/>
      <w:marTop w:val="0"/>
      <w:marBottom w:val="0"/>
      <w:divBdr>
        <w:top w:val="none" w:sz="0" w:space="0" w:color="auto"/>
        <w:left w:val="none" w:sz="0" w:space="0" w:color="auto"/>
        <w:bottom w:val="none" w:sz="0" w:space="0" w:color="auto"/>
        <w:right w:val="none" w:sz="0" w:space="0" w:color="auto"/>
      </w:divBdr>
      <w:divsChild>
        <w:div w:id="465510815">
          <w:marLeft w:val="0"/>
          <w:marRight w:val="0"/>
          <w:marTop w:val="0"/>
          <w:marBottom w:val="0"/>
          <w:divBdr>
            <w:top w:val="none" w:sz="0" w:space="0" w:color="auto"/>
            <w:left w:val="none" w:sz="0" w:space="0" w:color="auto"/>
            <w:bottom w:val="none" w:sz="0" w:space="0" w:color="auto"/>
            <w:right w:val="none" w:sz="0" w:space="0" w:color="auto"/>
          </w:divBdr>
          <w:divsChild>
            <w:div w:id="1527864954">
              <w:marLeft w:val="0"/>
              <w:marRight w:val="0"/>
              <w:marTop w:val="0"/>
              <w:marBottom w:val="0"/>
              <w:divBdr>
                <w:top w:val="none" w:sz="0" w:space="0" w:color="auto"/>
                <w:left w:val="none" w:sz="0" w:space="0" w:color="auto"/>
                <w:bottom w:val="none" w:sz="0" w:space="0" w:color="auto"/>
                <w:right w:val="none" w:sz="0" w:space="0" w:color="auto"/>
              </w:divBdr>
              <w:divsChild>
                <w:div w:id="695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56265">
      <w:bodyDiv w:val="1"/>
      <w:marLeft w:val="0"/>
      <w:marRight w:val="0"/>
      <w:marTop w:val="0"/>
      <w:marBottom w:val="0"/>
      <w:divBdr>
        <w:top w:val="none" w:sz="0" w:space="0" w:color="auto"/>
        <w:left w:val="none" w:sz="0" w:space="0" w:color="auto"/>
        <w:bottom w:val="none" w:sz="0" w:space="0" w:color="auto"/>
        <w:right w:val="none" w:sz="0" w:space="0" w:color="auto"/>
      </w:divBdr>
      <w:divsChild>
        <w:div w:id="1532263312">
          <w:marLeft w:val="0"/>
          <w:marRight w:val="0"/>
          <w:marTop w:val="0"/>
          <w:marBottom w:val="0"/>
          <w:divBdr>
            <w:top w:val="none" w:sz="0" w:space="0" w:color="auto"/>
            <w:left w:val="none" w:sz="0" w:space="0" w:color="auto"/>
            <w:bottom w:val="none" w:sz="0" w:space="0" w:color="auto"/>
            <w:right w:val="none" w:sz="0" w:space="0" w:color="auto"/>
          </w:divBdr>
          <w:divsChild>
            <w:div w:id="1229074267">
              <w:marLeft w:val="0"/>
              <w:marRight w:val="0"/>
              <w:marTop w:val="0"/>
              <w:marBottom w:val="0"/>
              <w:divBdr>
                <w:top w:val="none" w:sz="0" w:space="0" w:color="auto"/>
                <w:left w:val="none" w:sz="0" w:space="0" w:color="auto"/>
                <w:bottom w:val="none" w:sz="0" w:space="0" w:color="auto"/>
                <w:right w:val="none" w:sz="0" w:space="0" w:color="auto"/>
              </w:divBdr>
              <w:divsChild>
                <w:div w:id="488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6001">
      <w:bodyDiv w:val="1"/>
      <w:marLeft w:val="0"/>
      <w:marRight w:val="0"/>
      <w:marTop w:val="0"/>
      <w:marBottom w:val="0"/>
      <w:divBdr>
        <w:top w:val="none" w:sz="0" w:space="0" w:color="auto"/>
        <w:left w:val="none" w:sz="0" w:space="0" w:color="auto"/>
        <w:bottom w:val="none" w:sz="0" w:space="0" w:color="auto"/>
        <w:right w:val="none" w:sz="0" w:space="0" w:color="auto"/>
      </w:divBdr>
      <w:divsChild>
        <w:div w:id="1814906374">
          <w:marLeft w:val="0"/>
          <w:marRight w:val="0"/>
          <w:marTop w:val="0"/>
          <w:marBottom w:val="0"/>
          <w:divBdr>
            <w:top w:val="none" w:sz="0" w:space="0" w:color="auto"/>
            <w:left w:val="none" w:sz="0" w:space="0" w:color="auto"/>
            <w:bottom w:val="none" w:sz="0" w:space="0" w:color="auto"/>
            <w:right w:val="none" w:sz="0" w:space="0" w:color="auto"/>
          </w:divBdr>
          <w:divsChild>
            <w:div w:id="721683619">
              <w:marLeft w:val="0"/>
              <w:marRight w:val="0"/>
              <w:marTop w:val="0"/>
              <w:marBottom w:val="0"/>
              <w:divBdr>
                <w:top w:val="none" w:sz="0" w:space="0" w:color="auto"/>
                <w:left w:val="none" w:sz="0" w:space="0" w:color="auto"/>
                <w:bottom w:val="none" w:sz="0" w:space="0" w:color="auto"/>
                <w:right w:val="none" w:sz="0" w:space="0" w:color="auto"/>
              </w:divBdr>
              <w:divsChild>
                <w:div w:id="2059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34435">
      <w:bodyDiv w:val="1"/>
      <w:marLeft w:val="0"/>
      <w:marRight w:val="0"/>
      <w:marTop w:val="0"/>
      <w:marBottom w:val="0"/>
      <w:divBdr>
        <w:top w:val="none" w:sz="0" w:space="0" w:color="auto"/>
        <w:left w:val="none" w:sz="0" w:space="0" w:color="auto"/>
        <w:bottom w:val="none" w:sz="0" w:space="0" w:color="auto"/>
        <w:right w:val="none" w:sz="0" w:space="0" w:color="auto"/>
      </w:divBdr>
    </w:div>
    <w:div w:id="2073579092">
      <w:bodyDiv w:val="1"/>
      <w:marLeft w:val="0"/>
      <w:marRight w:val="0"/>
      <w:marTop w:val="0"/>
      <w:marBottom w:val="0"/>
      <w:divBdr>
        <w:top w:val="none" w:sz="0" w:space="0" w:color="auto"/>
        <w:left w:val="none" w:sz="0" w:space="0" w:color="auto"/>
        <w:bottom w:val="none" w:sz="0" w:space="0" w:color="auto"/>
        <w:right w:val="none" w:sz="0" w:space="0" w:color="auto"/>
      </w:divBdr>
      <w:divsChild>
        <w:div w:id="2084600360">
          <w:marLeft w:val="1166"/>
          <w:marRight w:val="0"/>
          <w:marTop w:val="200"/>
          <w:marBottom w:val="0"/>
          <w:divBdr>
            <w:top w:val="none" w:sz="0" w:space="0" w:color="auto"/>
            <w:left w:val="none" w:sz="0" w:space="0" w:color="auto"/>
            <w:bottom w:val="none" w:sz="0" w:space="0" w:color="auto"/>
            <w:right w:val="none" w:sz="0" w:space="0" w:color="auto"/>
          </w:divBdr>
        </w:div>
      </w:divsChild>
    </w:div>
    <w:div w:id="2078478301">
      <w:bodyDiv w:val="1"/>
      <w:marLeft w:val="0"/>
      <w:marRight w:val="0"/>
      <w:marTop w:val="0"/>
      <w:marBottom w:val="0"/>
      <w:divBdr>
        <w:top w:val="none" w:sz="0" w:space="0" w:color="auto"/>
        <w:left w:val="none" w:sz="0" w:space="0" w:color="auto"/>
        <w:bottom w:val="none" w:sz="0" w:space="0" w:color="auto"/>
        <w:right w:val="none" w:sz="0" w:space="0" w:color="auto"/>
      </w:divBdr>
      <w:divsChild>
        <w:div w:id="2129348980">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1113C-A947-DD48-8B26-8CA45D3C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Kerns</dc:creator>
  <cp:keywords/>
  <dc:description/>
  <cp:lastModifiedBy>Steve Kerns</cp:lastModifiedBy>
  <cp:revision>2</cp:revision>
  <dcterms:created xsi:type="dcterms:W3CDTF">2024-01-02T21:38:00Z</dcterms:created>
  <dcterms:modified xsi:type="dcterms:W3CDTF">2024-01-02T21:38:00Z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310f63-6f3c-4028-ba50-3c951d388562_Enabled">
    <vt:lpwstr>true</vt:lpwstr>
  </property>
  <property fmtid="{D5CDD505-2E9C-101B-9397-08002B2CF9AE}" pid="3" name="MSIP_Label_4f310f63-6f3c-4028-ba50-3c951d388562_SetDate">
    <vt:lpwstr>2022-11-08T20:43:47Z</vt:lpwstr>
  </property>
  <property fmtid="{D5CDD505-2E9C-101B-9397-08002B2CF9AE}" pid="4" name="MSIP_Label_4f310f63-6f3c-4028-ba50-3c951d388562_Method">
    <vt:lpwstr>Standard</vt:lpwstr>
  </property>
  <property fmtid="{D5CDD505-2E9C-101B-9397-08002B2CF9AE}" pid="5" name="MSIP_Label_4f310f63-6f3c-4028-ba50-3c951d388562_Name">
    <vt:lpwstr>Internal Use Only</vt:lpwstr>
  </property>
  <property fmtid="{D5CDD505-2E9C-101B-9397-08002B2CF9AE}" pid="6" name="MSIP_Label_4f310f63-6f3c-4028-ba50-3c951d388562_SiteId">
    <vt:lpwstr>023cc3f1-0988-4757-846f-493f0d084a7d</vt:lpwstr>
  </property>
  <property fmtid="{D5CDD505-2E9C-101B-9397-08002B2CF9AE}" pid="7" name="MSIP_Label_4f310f63-6f3c-4028-ba50-3c951d388562_ActionId">
    <vt:lpwstr>f4a608e2-3939-48dc-8b7e-e78ca191dc30</vt:lpwstr>
  </property>
  <property fmtid="{D5CDD505-2E9C-101B-9397-08002B2CF9AE}" pid="8" name="MSIP_Label_4f310f63-6f3c-4028-ba50-3c951d388562_ContentBits">
    <vt:lpwstr>0</vt:lpwstr>
  </property>
</Properties>
</file>